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03" w:rsidRPr="00392C28" w:rsidRDefault="00D778FE" w:rsidP="00EC3403">
      <w:pPr>
        <w:spacing w:after="0"/>
        <w:jc w:val="center"/>
        <w:rPr>
          <w:rFonts w:asciiTheme="majorHAnsi" w:hAnsiTheme="majorHAnsi"/>
          <w:b/>
          <w:lang w:val="en-US"/>
        </w:rPr>
      </w:pPr>
      <w:r w:rsidRPr="00D778FE">
        <w:rPr>
          <w:rFonts w:asciiTheme="majorHAnsi" w:hAnsiTheme="majorHAnsi"/>
          <w:b/>
          <w:color w:val="FF0000"/>
          <w:lang w:val="en-US"/>
        </w:rPr>
        <w:t>RETIFICAÇÃO DA</w:t>
      </w:r>
      <w:r>
        <w:rPr>
          <w:rFonts w:asciiTheme="majorHAnsi" w:hAnsiTheme="majorHAnsi"/>
          <w:b/>
          <w:lang w:val="en-US"/>
        </w:rPr>
        <w:t xml:space="preserve"> </w:t>
      </w:r>
      <w:r w:rsidR="00EC3403" w:rsidRPr="00392C28">
        <w:rPr>
          <w:rFonts w:asciiTheme="majorHAnsi" w:hAnsiTheme="majorHAnsi"/>
          <w:b/>
          <w:lang w:val="en-US"/>
        </w:rPr>
        <w:t>CHAMADA INTERNA PR2 Nº 02/2024 –AÇÃO TRANSVERSAL/RECUPERAÇÃO - INFRA 2023</w:t>
      </w:r>
    </w:p>
    <w:p w:rsidR="00B918BE" w:rsidRPr="00EC3403" w:rsidRDefault="00B918BE" w:rsidP="00EC3403">
      <w:pPr>
        <w:pStyle w:val="Corpodetexto2"/>
        <w:suppressAutoHyphens/>
        <w:spacing w:before="0" w:beforeAutospacing="0" w:after="120" w:line="240" w:lineRule="atLeast"/>
        <w:jc w:val="center"/>
        <w:rPr>
          <w:rFonts w:asciiTheme="majorHAnsi" w:hAnsiTheme="majorHAnsi"/>
          <w:sz w:val="18"/>
          <w:szCs w:val="18"/>
        </w:rPr>
      </w:pPr>
      <w:r w:rsidRPr="00EC3403">
        <w:rPr>
          <w:rFonts w:asciiTheme="majorHAnsi" w:hAnsiTheme="majorHAnsi" w:cs="Tahoma"/>
          <w:sz w:val="18"/>
          <w:szCs w:val="18"/>
        </w:rPr>
        <w:t xml:space="preserve">EDITAL PARA SELEÇÃO PÚBLICA DE PROPOSTAS PARA APOIO FINANCEIRO </w:t>
      </w:r>
      <w:r w:rsidR="00983B77">
        <w:rPr>
          <w:rFonts w:asciiTheme="majorHAnsi" w:hAnsiTheme="majorHAnsi" w:cs="Tahoma"/>
          <w:sz w:val="18"/>
          <w:szCs w:val="18"/>
        </w:rPr>
        <w:t>A</w:t>
      </w:r>
      <w:r w:rsidRPr="00EC3403">
        <w:rPr>
          <w:rFonts w:asciiTheme="majorHAnsi" w:hAnsiTheme="majorHAnsi" w:cs="Tahoma"/>
          <w:sz w:val="18"/>
          <w:szCs w:val="18"/>
        </w:rPr>
        <w:t xml:space="preserve"> RECUPERAÇÃO E ATUALIZAÇÃO DE AMBIENTE DE PESQUISA E EQUIPAMENTOS</w:t>
      </w:r>
    </w:p>
    <w:p w:rsidR="00B918BE" w:rsidRPr="009454A0" w:rsidRDefault="00B918BE" w:rsidP="009454A0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lang w:eastAsia="pt-BR"/>
        </w:rPr>
      </w:pPr>
      <w:r w:rsidRPr="009454A0">
        <w:rPr>
          <w:rFonts w:asciiTheme="majorHAnsi" w:eastAsia="Times New Roman" w:hAnsiTheme="majorHAnsi" w:cs="Tahoma"/>
          <w:lang w:eastAsia="pt-BR"/>
        </w:rPr>
        <w:t xml:space="preserve">A Pró-Reitoria de Pós-Graduação e Pesquisa (PR2) torna pública a Chamada Interna PR2 Nº 02/2024 – Chamada Pública </w:t>
      </w:r>
      <w:bookmarkStart w:id="0" w:name="_GoBack"/>
      <w:r w:rsidRPr="009454A0">
        <w:rPr>
          <w:rFonts w:asciiTheme="majorHAnsi" w:eastAsia="Times New Roman" w:hAnsiTheme="majorHAnsi" w:cs="Tahoma"/>
          <w:lang w:eastAsia="pt-BR"/>
        </w:rPr>
        <w:t>MCTI/FINEP/FNDC</w:t>
      </w:r>
      <w:r w:rsidR="002E78D1" w:rsidRPr="009454A0">
        <w:rPr>
          <w:rFonts w:asciiTheme="majorHAnsi" w:eastAsia="Times New Roman" w:hAnsiTheme="majorHAnsi" w:cs="Tahoma"/>
          <w:lang w:eastAsia="pt-BR"/>
        </w:rPr>
        <w:t xml:space="preserve">T/Ação </w:t>
      </w:r>
      <w:proofErr w:type="gramStart"/>
      <w:r w:rsidR="002E78D1" w:rsidRPr="009454A0">
        <w:rPr>
          <w:rFonts w:asciiTheme="majorHAnsi" w:eastAsia="Times New Roman" w:hAnsiTheme="majorHAnsi" w:cs="Tahoma"/>
          <w:lang w:eastAsia="pt-BR"/>
        </w:rPr>
        <w:t>Transversal –Recuperação</w:t>
      </w:r>
      <w:proofErr w:type="gramEnd"/>
      <w:r w:rsidR="002E78D1" w:rsidRPr="009454A0">
        <w:rPr>
          <w:rFonts w:asciiTheme="majorHAnsi" w:eastAsia="Times New Roman" w:hAnsiTheme="majorHAnsi" w:cs="Tahoma"/>
          <w:lang w:eastAsia="pt-BR"/>
        </w:rPr>
        <w:t xml:space="preserve"> </w:t>
      </w:r>
      <w:r w:rsidRPr="009454A0">
        <w:rPr>
          <w:rFonts w:asciiTheme="majorHAnsi" w:eastAsia="Times New Roman" w:hAnsiTheme="majorHAnsi" w:cs="Tahoma"/>
          <w:lang w:eastAsia="pt-BR"/>
        </w:rPr>
        <w:t>–</w:t>
      </w:r>
      <w:r w:rsidR="002E78D1" w:rsidRPr="009454A0">
        <w:rPr>
          <w:rFonts w:asciiTheme="majorHAnsi" w:eastAsia="Times New Roman" w:hAnsiTheme="majorHAnsi" w:cs="Tahoma"/>
          <w:lang w:eastAsia="pt-BR"/>
        </w:rPr>
        <w:t xml:space="preserve"> </w:t>
      </w:r>
      <w:r w:rsidRPr="009454A0">
        <w:rPr>
          <w:rFonts w:asciiTheme="majorHAnsi" w:eastAsia="Times New Roman" w:hAnsiTheme="majorHAnsi" w:cs="Tahoma"/>
          <w:lang w:eastAsia="pt-BR"/>
        </w:rPr>
        <w:t>Infra 2023</w:t>
      </w:r>
      <w:bookmarkEnd w:id="0"/>
      <w:r w:rsidRPr="009454A0">
        <w:rPr>
          <w:rFonts w:asciiTheme="majorHAnsi" w:eastAsia="Times New Roman" w:hAnsiTheme="majorHAnsi" w:cs="Tahoma"/>
          <w:lang w:eastAsia="pt-BR"/>
        </w:rPr>
        <w:t xml:space="preserve">, com o objetivo de selecionar </w:t>
      </w:r>
      <w:r w:rsidRPr="006F5331">
        <w:rPr>
          <w:rFonts w:asciiTheme="majorHAnsi" w:eastAsia="Times New Roman" w:hAnsiTheme="majorHAnsi" w:cs="Tahoma"/>
          <w:strike/>
          <w:color w:val="FF0000"/>
          <w:lang w:eastAsia="pt-BR"/>
        </w:rPr>
        <w:t xml:space="preserve">até 5 (cinco) </w:t>
      </w:r>
      <w:r w:rsidRPr="006D4E86">
        <w:rPr>
          <w:rFonts w:asciiTheme="majorHAnsi" w:eastAsia="Times New Roman" w:hAnsiTheme="majorHAnsi" w:cs="Tahoma"/>
          <w:lang w:eastAsia="pt-BR"/>
        </w:rPr>
        <w:t>subprojetos</w:t>
      </w:r>
      <w:r w:rsidRPr="009454A0">
        <w:rPr>
          <w:rFonts w:asciiTheme="majorHAnsi" w:eastAsia="Times New Roman" w:hAnsiTheme="majorHAnsi" w:cs="Tahoma"/>
          <w:lang w:eastAsia="pt-BR"/>
        </w:rPr>
        <w:t xml:space="preserve"> </w:t>
      </w:r>
      <w:r w:rsidR="003F6133">
        <w:rPr>
          <w:rFonts w:asciiTheme="majorHAnsi" w:eastAsia="Times New Roman" w:hAnsiTheme="majorHAnsi" w:cs="Tahoma"/>
          <w:lang w:eastAsia="pt-BR"/>
        </w:rPr>
        <w:t>que integrarão</w:t>
      </w:r>
      <w:r w:rsidRPr="009454A0">
        <w:rPr>
          <w:rFonts w:asciiTheme="majorHAnsi" w:eastAsia="Times New Roman" w:hAnsiTheme="majorHAnsi" w:cs="Tahoma"/>
          <w:lang w:eastAsia="pt-BR"/>
        </w:rPr>
        <w:t xml:space="preserve"> a proposta institucional a ser encaminhada para a referida Chamada FINEP.</w:t>
      </w:r>
    </w:p>
    <w:p w:rsidR="00B918BE" w:rsidRPr="009454A0" w:rsidRDefault="00B918BE" w:rsidP="009454A0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lang w:eastAsia="pt-BR"/>
        </w:rPr>
      </w:pPr>
      <w:r w:rsidRPr="009454A0">
        <w:rPr>
          <w:rFonts w:asciiTheme="majorHAnsi" w:eastAsia="Times New Roman" w:hAnsiTheme="majorHAnsi" w:cs="Tahoma"/>
          <w:lang w:eastAsia="pt-BR"/>
        </w:rPr>
        <w:t>Os interessados devem acessar o link abaixo, para tomar conhecimento integral das regras e disposições estabelecidas pela FINEP.</w:t>
      </w:r>
    </w:p>
    <w:p w:rsidR="00B918BE" w:rsidRPr="00506383" w:rsidRDefault="00B918BE" w:rsidP="009454A0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lang w:eastAsia="pt-BR"/>
        </w:rPr>
      </w:pPr>
      <w:r w:rsidRPr="009454A0">
        <w:rPr>
          <w:rFonts w:asciiTheme="majorHAnsi" w:eastAsia="Times New Roman" w:hAnsiTheme="majorHAnsi" w:cs="Tahoma"/>
          <w:lang w:eastAsia="pt-BR"/>
        </w:rPr>
        <w:t xml:space="preserve">Recomendamos a leitura cuidadosa do edital e, em caso de dúvida, enviar consulta para o e-mail </w:t>
      </w:r>
      <w:hyperlink r:id="rId9" w:history="1">
        <w:r w:rsidRPr="00506383">
          <w:rPr>
            <w:rFonts w:asciiTheme="majorHAnsi" w:eastAsia="Times New Roman" w:hAnsiTheme="majorHAnsi" w:cs="Tahoma"/>
            <w:lang w:eastAsia="pt-BR"/>
          </w:rPr>
          <w:t>assessoria@sr2.uerj.br</w:t>
        </w:r>
      </w:hyperlink>
    </w:p>
    <w:p w:rsidR="00B918BE" w:rsidRPr="003177D7" w:rsidRDefault="00AF6AB3" w:rsidP="00947E9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3177D7">
        <w:rPr>
          <w:rFonts w:asciiTheme="majorHAnsi" w:eastAsia="Times New Roman" w:hAnsiTheme="majorHAnsi" w:cs="Times New Roman"/>
          <w:b/>
          <w:bCs/>
        </w:rPr>
        <w:t xml:space="preserve">As informações a seguir não excluem a necessidade da leitura da íntegra do Edital FINEP </w:t>
      </w:r>
      <w:r w:rsidR="00B918BE" w:rsidRPr="003177D7">
        <w:rPr>
          <w:rFonts w:asciiTheme="majorHAnsi" w:eastAsia="Times New Roman" w:hAnsiTheme="majorHAnsi" w:cs="Times New Roman"/>
          <w:b/>
          <w:bCs/>
        </w:rPr>
        <w:t>e do Anexo II (orientações para apresentação de projeto resumido de obras/serviços de engenharia de pequeno porte)</w:t>
      </w:r>
    </w:p>
    <w:p w:rsidR="00AF6AB3" w:rsidRPr="003177D7" w:rsidRDefault="00B918BE" w:rsidP="00947E9B">
      <w:pPr>
        <w:shd w:val="clear" w:color="auto" w:fill="FFFFFF"/>
        <w:spacing w:after="150" w:line="240" w:lineRule="auto"/>
        <w:jc w:val="both"/>
        <w:rPr>
          <w:rStyle w:val="Hyperlink"/>
          <w:rFonts w:asciiTheme="majorHAnsi" w:hAnsiTheme="majorHAnsi" w:cs="Times New Roman"/>
          <w:color w:val="auto"/>
          <w:shd w:val="clear" w:color="auto" w:fill="FFFFFF"/>
        </w:rPr>
      </w:pPr>
      <w:r w:rsidRPr="003177D7">
        <w:rPr>
          <w:rFonts w:asciiTheme="majorHAnsi" w:eastAsia="Times New Roman" w:hAnsiTheme="majorHAnsi" w:cs="Times New Roman"/>
          <w:b/>
          <w:bCs/>
        </w:rPr>
        <w:t>Link</w:t>
      </w:r>
      <w:r w:rsidR="00AF6AB3" w:rsidRPr="003177D7">
        <w:rPr>
          <w:rFonts w:asciiTheme="majorHAnsi" w:eastAsia="Times New Roman" w:hAnsiTheme="majorHAnsi" w:cs="Times New Roman"/>
          <w:b/>
          <w:bCs/>
        </w:rPr>
        <w:t xml:space="preserve">: </w:t>
      </w:r>
      <w:hyperlink r:id="rId10" w:history="1">
        <w:r w:rsidRPr="003177D7">
          <w:rPr>
            <w:rStyle w:val="Hyperlink"/>
            <w:rFonts w:asciiTheme="majorHAnsi" w:hAnsiTheme="majorHAnsi" w:cs="Times New Roman"/>
            <w:color w:val="auto"/>
            <w:shd w:val="clear" w:color="auto" w:fill="FFFFFF"/>
          </w:rPr>
          <w:t>http://www.finep.gov.br/chamadas-publicas/chamadapublica/720</w:t>
        </w:r>
      </w:hyperlink>
    </w:p>
    <w:p w:rsidR="00AF6AB3" w:rsidRPr="003177D7" w:rsidRDefault="00AF6AB3" w:rsidP="00AF6AB3">
      <w:pPr>
        <w:shd w:val="clear" w:color="auto" w:fill="FFFFFF"/>
        <w:spacing w:after="150" w:line="240" w:lineRule="auto"/>
        <w:jc w:val="both"/>
        <w:rPr>
          <w:rFonts w:asciiTheme="majorHAnsi" w:hAnsiTheme="majorHAnsi" w:cs="Times New Roman"/>
          <w:shd w:val="clear" w:color="auto" w:fill="FFFFFF"/>
        </w:rPr>
      </w:pPr>
    </w:p>
    <w:p w:rsidR="00E92C09" w:rsidRDefault="00E92C09" w:rsidP="00E92C09">
      <w:pPr>
        <w:jc w:val="both"/>
        <w:rPr>
          <w:rFonts w:asciiTheme="majorHAnsi" w:hAnsiTheme="majorHAnsi" w:cs="Times New Roman"/>
          <w:b/>
          <w:shd w:val="clear" w:color="auto" w:fill="FFFFFF"/>
        </w:rPr>
      </w:pPr>
      <w:proofErr w:type="gramStart"/>
      <w:r w:rsidRPr="003177D7">
        <w:rPr>
          <w:rFonts w:asciiTheme="majorHAnsi" w:hAnsiTheme="majorHAnsi" w:cs="Times New Roman"/>
          <w:b/>
          <w:shd w:val="clear" w:color="auto" w:fill="FFFFFF"/>
        </w:rPr>
        <w:t>1.</w:t>
      </w:r>
      <w:proofErr w:type="gramEnd"/>
      <w:r w:rsidRPr="003177D7">
        <w:rPr>
          <w:rFonts w:asciiTheme="majorHAnsi" w:hAnsiTheme="majorHAnsi" w:cs="Times New Roman"/>
          <w:b/>
          <w:shd w:val="clear" w:color="auto" w:fill="FFFFFF"/>
        </w:rPr>
        <w:t>OBJETIVO</w:t>
      </w:r>
      <w:r w:rsidR="0004625A" w:rsidRPr="003177D7">
        <w:rPr>
          <w:rFonts w:asciiTheme="majorHAnsi" w:hAnsiTheme="majorHAnsi" w:cs="Times New Roman"/>
          <w:b/>
          <w:shd w:val="clear" w:color="auto" w:fill="FFFFFF"/>
        </w:rPr>
        <w:t>S</w:t>
      </w:r>
    </w:p>
    <w:p w:rsidR="00506383" w:rsidRPr="00506383" w:rsidRDefault="00506383" w:rsidP="00E92C09">
      <w:pPr>
        <w:jc w:val="both"/>
        <w:rPr>
          <w:rFonts w:asciiTheme="majorHAnsi" w:hAnsiTheme="majorHAnsi" w:cs="Times New Roman"/>
          <w:shd w:val="clear" w:color="auto" w:fill="FFFFFF"/>
        </w:rPr>
      </w:pPr>
      <w:proofErr w:type="gramStart"/>
      <w:r w:rsidRPr="00506383">
        <w:rPr>
          <w:rFonts w:asciiTheme="majorHAnsi" w:hAnsiTheme="majorHAnsi" w:cs="Times New Roman"/>
          <w:shd w:val="clear" w:color="auto" w:fill="FFFFFF"/>
        </w:rPr>
        <w:t>A presente</w:t>
      </w:r>
      <w:proofErr w:type="gramEnd"/>
      <w:r w:rsidRPr="00506383">
        <w:rPr>
          <w:rFonts w:asciiTheme="majorHAnsi" w:hAnsiTheme="majorHAnsi" w:cs="Times New Roman"/>
          <w:shd w:val="clear" w:color="auto" w:fill="FFFFFF"/>
        </w:rPr>
        <w:t xml:space="preserve"> Chamada visa:</w:t>
      </w:r>
    </w:p>
    <w:p w:rsidR="0004625A" w:rsidRPr="003177D7" w:rsidRDefault="0004625A" w:rsidP="0004625A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lang w:eastAsia="pt-BR"/>
        </w:rPr>
      </w:pPr>
      <w:proofErr w:type="gramStart"/>
      <w:r w:rsidRPr="003177D7">
        <w:rPr>
          <w:rFonts w:asciiTheme="majorHAnsi" w:eastAsia="Times New Roman" w:hAnsiTheme="majorHAnsi" w:cs="Times New Roman"/>
        </w:rPr>
        <w:t>1.1.</w:t>
      </w:r>
      <w:proofErr w:type="gramEnd"/>
      <w:r w:rsidR="00506383">
        <w:rPr>
          <w:rFonts w:asciiTheme="majorHAnsi" w:eastAsia="Times New Roman" w:hAnsiTheme="majorHAnsi" w:cs="Times New Roman"/>
        </w:rPr>
        <w:t>S</w:t>
      </w:r>
      <w:r w:rsidR="00E92C09" w:rsidRPr="003177D7">
        <w:rPr>
          <w:rFonts w:asciiTheme="majorHAnsi" w:eastAsia="Times New Roman" w:hAnsiTheme="majorHAnsi" w:cs="Times New Roman"/>
        </w:rPr>
        <w:t xml:space="preserve">elecionar subprojetos altamente qualificados, competitivos e alinhados aos requisitos da Chamada FINEP para comporem a proposta </w:t>
      </w:r>
      <w:proofErr w:type="gramStart"/>
      <w:r w:rsidR="00E92C09" w:rsidRPr="003177D7">
        <w:rPr>
          <w:rFonts w:asciiTheme="majorHAnsi" w:eastAsia="Times New Roman" w:hAnsiTheme="majorHAnsi" w:cs="Times New Roman"/>
        </w:rPr>
        <w:t>Uerj</w:t>
      </w:r>
      <w:proofErr w:type="gramEnd"/>
      <w:r w:rsidR="005974F5">
        <w:rPr>
          <w:rFonts w:asciiTheme="majorHAnsi" w:eastAsia="Times New Roman" w:hAnsiTheme="majorHAnsi" w:cs="Times New Roman"/>
        </w:rPr>
        <w:t xml:space="preserve">, objetivando </w:t>
      </w:r>
      <w:r w:rsidRPr="003177D7">
        <w:rPr>
          <w:rFonts w:asciiTheme="majorHAnsi" w:eastAsia="Times New Roman" w:hAnsiTheme="majorHAnsi" w:cs="Tahoma"/>
          <w:lang w:eastAsia="pt-BR"/>
        </w:rPr>
        <w:t xml:space="preserve">apoio financeiro para a restauração e a atualização de equipamentos </w:t>
      </w:r>
      <w:r w:rsidR="000A7048">
        <w:rPr>
          <w:rFonts w:asciiTheme="majorHAnsi" w:eastAsia="Times New Roman" w:hAnsiTheme="majorHAnsi" w:cs="Tahoma"/>
          <w:lang w:eastAsia="pt-BR"/>
        </w:rPr>
        <w:t xml:space="preserve">multiusuários </w:t>
      </w:r>
      <w:r w:rsidRPr="003177D7">
        <w:rPr>
          <w:rFonts w:asciiTheme="majorHAnsi" w:eastAsia="Times New Roman" w:hAnsiTheme="majorHAnsi" w:cs="Tahoma"/>
          <w:lang w:eastAsia="pt-BR"/>
        </w:rPr>
        <w:t>de pesquisa importantes para o desenvolvimento de projetos científicos e tecnológicos de ponta, focados no apoio a programas estratégicos nacionais e ao desenvolvimento industrial em áreas prioritárias</w:t>
      </w:r>
      <w:r w:rsidR="00D52D69" w:rsidRPr="003177D7">
        <w:rPr>
          <w:rFonts w:asciiTheme="majorHAnsi" w:eastAsia="Times New Roman" w:hAnsiTheme="majorHAnsi" w:cs="Tahoma"/>
          <w:lang w:eastAsia="pt-BR"/>
        </w:rPr>
        <w:t>;</w:t>
      </w:r>
      <w:r w:rsidRPr="003177D7">
        <w:rPr>
          <w:rFonts w:asciiTheme="majorHAnsi" w:eastAsia="Times New Roman" w:hAnsiTheme="majorHAnsi" w:cs="Tahoma"/>
          <w:lang w:eastAsia="pt-BR"/>
        </w:rPr>
        <w:t xml:space="preserve"> </w:t>
      </w:r>
    </w:p>
    <w:p w:rsidR="0004625A" w:rsidRPr="003177D7" w:rsidRDefault="0004625A" w:rsidP="0004625A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hAnsiTheme="majorHAnsi"/>
        </w:rPr>
      </w:pPr>
      <w:r w:rsidRPr="003177D7">
        <w:rPr>
          <w:rFonts w:asciiTheme="majorHAnsi" w:eastAsia="Times New Roman" w:hAnsiTheme="majorHAnsi" w:cs="Times New Roman"/>
        </w:rPr>
        <w:t>1.2.</w:t>
      </w:r>
      <w:r w:rsidRPr="003177D7">
        <w:rPr>
          <w:rFonts w:asciiTheme="majorHAnsi" w:hAnsiTheme="majorHAnsi"/>
        </w:rPr>
        <w:t xml:space="preserve"> Aumentar a competitividade </w:t>
      </w:r>
      <w:r w:rsidR="00D52D69" w:rsidRPr="003177D7">
        <w:rPr>
          <w:rFonts w:asciiTheme="majorHAnsi" w:hAnsiTheme="majorHAnsi"/>
        </w:rPr>
        <w:t xml:space="preserve">da </w:t>
      </w:r>
      <w:proofErr w:type="gramStart"/>
      <w:r w:rsidR="00D52D69" w:rsidRPr="003177D7">
        <w:rPr>
          <w:rFonts w:asciiTheme="majorHAnsi" w:hAnsiTheme="majorHAnsi"/>
        </w:rPr>
        <w:t>Uerj</w:t>
      </w:r>
      <w:proofErr w:type="gramEnd"/>
      <w:r w:rsidRPr="003177D7">
        <w:rPr>
          <w:rFonts w:asciiTheme="majorHAnsi" w:hAnsiTheme="majorHAnsi"/>
        </w:rPr>
        <w:t xml:space="preserve"> em diversas áreas de conhecimento, por intermédio da realização de pesquisas;</w:t>
      </w:r>
    </w:p>
    <w:p w:rsidR="0004625A" w:rsidRPr="003177D7" w:rsidRDefault="0004625A" w:rsidP="0004625A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hAnsiTheme="majorHAnsi"/>
        </w:rPr>
      </w:pPr>
      <w:proofErr w:type="gramStart"/>
      <w:r w:rsidRPr="003177D7">
        <w:rPr>
          <w:rFonts w:asciiTheme="majorHAnsi" w:hAnsiTheme="majorHAnsi"/>
        </w:rPr>
        <w:t>1.3.</w:t>
      </w:r>
      <w:proofErr w:type="gramEnd"/>
      <w:r w:rsidRPr="003177D7">
        <w:rPr>
          <w:rFonts w:asciiTheme="majorHAnsi" w:hAnsiTheme="majorHAnsi"/>
        </w:rPr>
        <w:t>Incentivar a prestação de serviços, por meio da infraestrutura instalada, a empresas de base tecnológica, estimulando assim o processo de inovação.</w:t>
      </w:r>
    </w:p>
    <w:p w:rsidR="00AF6AB3" w:rsidRPr="003177D7" w:rsidRDefault="0004625A" w:rsidP="0004625A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  <w:b/>
        </w:rPr>
      </w:pPr>
      <w:proofErr w:type="gramStart"/>
      <w:r w:rsidRPr="003177D7">
        <w:rPr>
          <w:rFonts w:asciiTheme="majorHAnsi" w:eastAsia="Times New Roman" w:hAnsiTheme="majorHAnsi" w:cs="Times New Roman"/>
          <w:b/>
        </w:rPr>
        <w:t>2.</w:t>
      </w:r>
      <w:proofErr w:type="gramEnd"/>
      <w:r w:rsidR="00AF6AB3" w:rsidRPr="003177D7">
        <w:rPr>
          <w:rFonts w:asciiTheme="majorHAnsi" w:eastAsia="Times New Roman" w:hAnsiTheme="majorHAnsi" w:cs="Times New Roman"/>
          <w:b/>
        </w:rPr>
        <w:t>INSCRIÇÕES</w:t>
      </w:r>
      <w:r w:rsidRPr="003177D7">
        <w:rPr>
          <w:rFonts w:asciiTheme="majorHAnsi" w:eastAsia="Times New Roman" w:hAnsiTheme="majorHAnsi" w:cs="Times New Roman"/>
          <w:b/>
        </w:rPr>
        <w:t xml:space="preserve"> – CRONOGRAMA INTERNO</w:t>
      </w:r>
    </w:p>
    <w:p w:rsidR="00AF6AB3" w:rsidRPr="003177D7" w:rsidRDefault="00AF6AB3" w:rsidP="00AF6AB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3177D7">
        <w:rPr>
          <w:rFonts w:asciiTheme="majorHAnsi" w:eastAsia="Times New Roman" w:hAnsiTheme="majorHAnsi" w:cs="Times New Roman"/>
        </w:rPr>
        <w:t xml:space="preserve">As inscrições estarão abertas até </w:t>
      </w:r>
      <w:r w:rsidR="00D52D69" w:rsidRPr="003177D7">
        <w:rPr>
          <w:rFonts w:asciiTheme="majorHAnsi" w:eastAsia="Times New Roman" w:hAnsiTheme="majorHAnsi" w:cs="Times New Roman"/>
          <w:b/>
        </w:rPr>
        <w:t xml:space="preserve">17 de março </w:t>
      </w:r>
      <w:r w:rsidRPr="003177D7">
        <w:rPr>
          <w:rFonts w:asciiTheme="majorHAnsi" w:eastAsia="Times New Roman" w:hAnsiTheme="majorHAnsi" w:cs="Times New Roman"/>
          <w:b/>
        </w:rPr>
        <w:t>de 2024</w:t>
      </w:r>
      <w:r w:rsidRPr="003177D7">
        <w:rPr>
          <w:rFonts w:asciiTheme="majorHAnsi" w:eastAsia="Times New Roman" w:hAnsiTheme="majorHAnsi" w:cs="Times New Roman"/>
        </w:rPr>
        <w:t xml:space="preserve"> e deverão ser feitas exclusivamente pelo preenchimento dos Formulários </w:t>
      </w:r>
      <w:r w:rsidR="00D52D69" w:rsidRPr="003177D7">
        <w:rPr>
          <w:rFonts w:asciiTheme="majorHAnsi" w:eastAsia="Times New Roman" w:hAnsiTheme="majorHAnsi" w:cs="Times New Roman"/>
        </w:rPr>
        <w:t xml:space="preserve">PR2 </w:t>
      </w:r>
      <w:r w:rsidR="00506383">
        <w:rPr>
          <w:rFonts w:asciiTheme="majorHAnsi" w:eastAsia="Times New Roman" w:hAnsiTheme="majorHAnsi" w:cs="Times New Roman"/>
        </w:rPr>
        <w:t>em anexo a serem</w:t>
      </w:r>
      <w:r w:rsidRPr="003177D7">
        <w:rPr>
          <w:rFonts w:asciiTheme="majorHAnsi" w:eastAsia="Times New Roman" w:hAnsiTheme="majorHAnsi" w:cs="Times New Roman"/>
        </w:rPr>
        <w:t xml:space="preserve"> enviados para o e-mail: </w:t>
      </w:r>
      <w:hyperlink r:id="rId11" w:history="1">
        <w:r w:rsidRPr="003177D7">
          <w:rPr>
            <w:rStyle w:val="Hyperlink"/>
            <w:rFonts w:asciiTheme="majorHAnsi" w:eastAsia="Times New Roman" w:hAnsiTheme="majorHAnsi" w:cs="Times New Roman"/>
            <w:color w:val="auto"/>
          </w:rPr>
          <w:t>assessoria@sr2.uerj.br</w:t>
        </w:r>
      </w:hyperlink>
      <w:r w:rsidRPr="002E78D1">
        <w:rPr>
          <w:rStyle w:val="Hyperlink"/>
          <w:rFonts w:asciiTheme="majorHAnsi" w:eastAsia="Times New Roman" w:hAnsiTheme="majorHAnsi" w:cs="Times New Roman"/>
          <w:color w:val="auto"/>
        </w:rPr>
        <w:t>, constando como assunto:</w:t>
      </w:r>
      <w:r w:rsidR="002E78D1">
        <w:rPr>
          <w:rStyle w:val="Hyperlink"/>
          <w:rFonts w:asciiTheme="majorHAnsi" w:eastAsia="Times New Roman" w:hAnsiTheme="majorHAnsi" w:cs="Times New Roman"/>
          <w:color w:val="auto"/>
          <w:u w:val="none"/>
        </w:rPr>
        <w:t xml:space="preserve"> </w:t>
      </w:r>
      <w:r w:rsidR="00D52D69" w:rsidRPr="003177D7">
        <w:rPr>
          <w:rFonts w:asciiTheme="majorHAnsi" w:eastAsia="Times New Roman" w:hAnsiTheme="majorHAnsi" w:cs="Times New Roman"/>
          <w:b/>
        </w:rPr>
        <w:t>RECUPERAÇÃO</w:t>
      </w:r>
      <w:r w:rsidRPr="003177D7">
        <w:rPr>
          <w:rFonts w:asciiTheme="majorHAnsi" w:eastAsia="Times New Roman" w:hAnsiTheme="majorHAnsi" w:cs="Times New Roman"/>
          <w:b/>
        </w:rPr>
        <w:t xml:space="preserve"> - INSCRIÇÃO NA CHAMADA INTERNA PR2 0</w:t>
      </w:r>
      <w:r w:rsidR="00D52D69" w:rsidRPr="003177D7">
        <w:rPr>
          <w:rFonts w:asciiTheme="majorHAnsi" w:eastAsia="Times New Roman" w:hAnsiTheme="majorHAnsi" w:cs="Times New Roman"/>
          <w:b/>
        </w:rPr>
        <w:t>2</w:t>
      </w:r>
      <w:r w:rsidRPr="003177D7">
        <w:rPr>
          <w:rFonts w:asciiTheme="majorHAnsi" w:eastAsia="Times New Roman" w:hAnsiTheme="majorHAnsi" w:cs="Times New Roman"/>
          <w:b/>
        </w:rPr>
        <w:t>/2024</w:t>
      </w:r>
      <w:r w:rsidRPr="003177D7">
        <w:rPr>
          <w:rFonts w:asciiTheme="majorHAnsi" w:hAnsiTheme="majorHAnsi" w:cs="Times New Roman"/>
          <w:b/>
        </w:rPr>
        <w:t>.</w:t>
      </w:r>
    </w:p>
    <w:p w:rsidR="00983B77" w:rsidRDefault="00983B77" w:rsidP="009454A0">
      <w:pPr>
        <w:rPr>
          <w:rFonts w:asciiTheme="majorHAnsi" w:hAnsiTheme="majorHAnsi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38"/>
        <w:gridCol w:w="2706"/>
      </w:tblGrid>
      <w:tr w:rsidR="003177D7" w:rsidRPr="00F666C1" w:rsidTr="00035C37">
        <w:tc>
          <w:tcPr>
            <w:tcW w:w="5938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9"/>
            </w:tblGrid>
            <w:tr w:rsidR="003177D7" w:rsidRPr="00F666C1" w:rsidTr="00035C37">
              <w:trPr>
                <w:trHeight w:val="3"/>
              </w:trPr>
              <w:tc>
                <w:tcPr>
                  <w:tcW w:w="1219" w:type="dxa"/>
                </w:tcPr>
                <w:p w:rsidR="00AF6AB3" w:rsidRPr="00F666C1" w:rsidRDefault="00AF6AB3" w:rsidP="00035C37">
                  <w:pPr>
                    <w:pStyle w:val="Default"/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</w:pPr>
                  <w:r w:rsidRPr="00F666C1">
                    <w:rPr>
                      <w:rFonts w:asciiTheme="majorHAnsi" w:hAnsiTheme="majorHAnsi"/>
                      <w:b/>
                      <w:bCs/>
                      <w:color w:val="auto"/>
                      <w:sz w:val="18"/>
                      <w:szCs w:val="18"/>
                    </w:rPr>
                    <w:t>Atividades</w:t>
                  </w:r>
                </w:p>
              </w:tc>
            </w:tr>
          </w:tbl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706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4"/>
            </w:tblGrid>
            <w:tr w:rsidR="003177D7" w:rsidRPr="00F666C1" w:rsidTr="00035C37">
              <w:trPr>
                <w:trHeight w:val="3"/>
              </w:trPr>
              <w:tc>
                <w:tcPr>
                  <w:tcW w:w="754" w:type="dxa"/>
                </w:tcPr>
                <w:p w:rsidR="00AF6AB3" w:rsidRPr="00F666C1" w:rsidRDefault="00AF6AB3" w:rsidP="00035C37">
                  <w:pPr>
                    <w:pStyle w:val="Default"/>
                    <w:rPr>
                      <w:rFonts w:asciiTheme="majorHAnsi" w:hAnsiTheme="majorHAnsi"/>
                      <w:color w:val="auto"/>
                      <w:sz w:val="18"/>
                      <w:szCs w:val="18"/>
                    </w:rPr>
                  </w:pPr>
                  <w:r w:rsidRPr="00F666C1">
                    <w:rPr>
                      <w:rFonts w:asciiTheme="majorHAnsi" w:hAnsiTheme="majorHAnsi"/>
                      <w:b/>
                      <w:bCs/>
                      <w:color w:val="auto"/>
                      <w:sz w:val="18"/>
                      <w:szCs w:val="18"/>
                    </w:rPr>
                    <w:t>Datas</w:t>
                  </w:r>
                </w:p>
              </w:tc>
            </w:tr>
          </w:tbl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Divulgação da Chamada </w:t>
            </w:r>
            <w:proofErr w:type="gramStart"/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Finep</w:t>
            </w:r>
            <w:proofErr w:type="gramEnd"/>
          </w:p>
        </w:tc>
        <w:tc>
          <w:tcPr>
            <w:tcW w:w="2706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20/12/2023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Divulgação da Chamada Interna</w:t>
            </w:r>
            <w:r w:rsidR="00496C0E"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02/2024</w:t>
            </w:r>
          </w:p>
        </w:tc>
        <w:tc>
          <w:tcPr>
            <w:tcW w:w="2706" w:type="dxa"/>
          </w:tcPr>
          <w:p w:rsidR="00AF6AB3" w:rsidRPr="00F666C1" w:rsidRDefault="00AF6AB3" w:rsidP="00506383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  <w:r w:rsidR="00506383">
              <w:rPr>
                <w:rFonts w:asciiTheme="majorHAnsi" w:eastAsia="Times New Roman" w:hAnsiTheme="majorHAnsi" w:cs="Times New Roman"/>
                <w:sz w:val="18"/>
                <w:szCs w:val="18"/>
              </w:rPr>
              <w:t>9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/01/2024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496C0E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Disponibilização do formulário </w:t>
            </w:r>
            <w:r w:rsidR="00496C0E"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PR2 para 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apresentação de propostas</w:t>
            </w:r>
          </w:p>
        </w:tc>
        <w:tc>
          <w:tcPr>
            <w:tcW w:w="2706" w:type="dxa"/>
          </w:tcPr>
          <w:p w:rsidR="00AF6AB3" w:rsidRPr="00F666C1" w:rsidRDefault="00AF6AB3" w:rsidP="00506383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  <w:r w:rsidR="00506383">
              <w:rPr>
                <w:rFonts w:asciiTheme="majorHAnsi" w:eastAsia="Times New Roman" w:hAnsiTheme="majorHAnsi" w:cs="Times New Roman"/>
                <w:sz w:val="18"/>
                <w:szCs w:val="18"/>
              </w:rPr>
              <w:t>9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/01/2024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5125EC" w:rsidRDefault="00AF6AB3" w:rsidP="00496C0E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Data limite para submissão do subprojeto e documentos relacionados (atendendo </w:t>
            </w:r>
            <w:r w:rsidR="00496C0E"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 Chamadas PR2 e FINEP</w:t>
            </w:r>
            <w:r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6" w:type="dxa"/>
          </w:tcPr>
          <w:p w:rsidR="00AF6AB3" w:rsidRPr="005125EC" w:rsidRDefault="00AF6AB3" w:rsidP="00496C0E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Até </w:t>
            </w:r>
            <w:r w:rsidR="00496C0E"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17/03</w:t>
            </w:r>
            <w:r w:rsidRPr="005125E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/2024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Avaliação das propostas</w:t>
            </w:r>
          </w:p>
        </w:tc>
        <w:tc>
          <w:tcPr>
            <w:tcW w:w="2706" w:type="dxa"/>
          </w:tcPr>
          <w:p w:rsidR="00AF6AB3" w:rsidRPr="00F666C1" w:rsidRDefault="00AF6AB3" w:rsidP="00496C0E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Até </w:t>
            </w:r>
            <w:r w:rsidR="00496C0E"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20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/03/2024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Divulgação do Resultado</w:t>
            </w:r>
          </w:p>
        </w:tc>
        <w:tc>
          <w:tcPr>
            <w:tcW w:w="2706" w:type="dxa"/>
          </w:tcPr>
          <w:p w:rsidR="00AF6AB3" w:rsidRPr="00F666C1" w:rsidRDefault="00AF6AB3" w:rsidP="00496C0E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Até </w:t>
            </w:r>
            <w:r w:rsidR="00496C0E"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21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/03/2024</w:t>
            </w:r>
          </w:p>
        </w:tc>
      </w:tr>
      <w:tr w:rsidR="003177D7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Reunião com os coordenadores das propostas selecionadas para 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>preparação do projeto institucional</w:t>
            </w:r>
          </w:p>
        </w:tc>
        <w:tc>
          <w:tcPr>
            <w:tcW w:w="2706" w:type="dxa"/>
          </w:tcPr>
          <w:p w:rsidR="00AF6AB3" w:rsidRPr="00F666C1" w:rsidRDefault="00AF6AB3" w:rsidP="00496C0E">
            <w:pPr>
              <w:jc w:val="both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 xml:space="preserve">A partir de </w:t>
            </w:r>
            <w:r w:rsidR="00496C0E"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25</w:t>
            </w:r>
            <w:r w:rsidRPr="00F666C1">
              <w:rPr>
                <w:rFonts w:asciiTheme="majorHAnsi" w:eastAsia="Times New Roman" w:hAnsiTheme="majorHAnsi" w:cs="Times New Roman"/>
                <w:sz w:val="18"/>
                <w:szCs w:val="18"/>
              </w:rPr>
              <w:t>/03/2024</w:t>
            </w:r>
          </w:p>
        </w:tc>
      </w:tr>
      <w:tr w:rsidR="00AF6AB3" w:rsidRPr="00F666C1" w:rsidTr="00035C37">
        <w:tc>
          <w:tcPr>
            <w:tcW w:w="5938" w:type="dxa"/>
          </w:tcPr>
          <w:p w:rsidR="00AF6AB3" w:rsidRPr="00F666C1" w:rsidRDefault="00AF6AB3" w:rsidP="00035C37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lastRenderedPageBreak/>
              <w:t xml:space="preserve">Data limite para submissão da Proposta Institucional </w:t>
            </w:r>
          </w:p>
        </w:tc>
        <w:tc>
          <w:tcPr>
            <w:tcW w:w="2706" w:type="dxa"/>
          </w:tcPr>
          <w:p w:rsidR="00AF6AB3" w:rsidRPr="00F666C1" w:rsidRDefault="00496C0E" w:rsidP="00506383">
            <w:pPr>
              <w:jc w:val="both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F666C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17</w:t>
            </w:r>
            <w:r w:rsidR="00AF6AB3" w:rsidRPr="00F666C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/0</w:t>
            </w:r>
            <w:r w:rsidRPr="00F666C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4</w:t>
            </w:r>
            <w:r w:rsidR="00AF6AB3" w:rsidRPr="00F666C1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/202</w:t>
            </w:r>
            <w:r w:rsidR="00506383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4</w:t>
            </w:r>
          </w:p>
        </w:tc>
      </w:tr>
    </w:tbl>
    <w:p w:rsidR="00AF6AB3" w:rsidRDefault="00371A84" w:rsidP="00EC3403">
      <w:pPr>
        <w:spacing w:before="240" w:after="165" w:line="240" w:lineRule="auto"/>
        <w:jc w:val="both"/>
        <w:rPr>
          <w:rFonts w:asciiTheme="majorHAnsi" w:eastAsia="Times New Roman" w:hAnsiTheme="majorHAnsi" w:cs="Times New Roman"/>
          <w:b/>
          <w:bCs/>
        </w:rPr>
      </w:pPr>
      <w:r w:rsidRPr="003177D7">
        <w:rPr>
          <w:rFonts w:asciiTheme="majorHAnsi" w:eastAsia="Times New Roman" w:hAnsiTheme="majorHAnsi" w:cs="Times New Roman"/>
          <w:b/>
          <w:bCs/>
        </w:rPr>
        <w:t>3.</w:t>
      </w:r>
      <w:r w:rsidR="00671C08">
        <w:rPr>
          <w:rFonts w:asciiTheme="majorHAnsi" w:eastAsia="Times New Roman" w:hAnsiTheme="majorHAnsi" w:cs="Times New Roman"/>
          <w:b/>
          <w:bCs/>
        </w:rPr>
        <w:t xml:space="preserve"> </w:t>
      </w:r>
      <w:r w:rsidR="00AF6AB3" w:rsidRPr="003177D7">
        <w:rPr>
          <w:rFonts w:asciiTheme="majorHAnsi" w:eastAsia="Times New Roman" w:hAnsiTheme="majorHAnsi" w:cs="Times New Roman"/>
          <w:b/>
          <w:bCs/>
        </w:rPr>
        <w:t xml:space="preserve">CARACTERÍSTICAS DOS </w:t>
      </w:r>
      <w:r w:rsidR="00AF6AB3" w:rsidRPr="00050228">
        <w:rPr>
          <w:rFonts w:asciiTheme="majorHAnsi" w:eastAsia="Times New Roman" w:hAnsiTheme="majorHAnsi" w:cs="Times New Roman"/>
          <w:b/>
          <w:bCs/>
        </w:rPr>
        <w:t>SUBPROJETOS</w:t>
      </w:r>
      <w:r w:rsidR="00AF6AB3" w:rsidRPr="003177D7">
        <w:rPr>
          <w:rFonts w:asciiTheme="majorHAnsi" w:eastAsia="Times New Roman" w:hAnsiTheme="majorHAnsi" w:cs="Times New Roman"/>
          <w:b/>
          <w:bCs/>
        </w:rPr>
        <w:t>:</w:t>
      </w:r>
    </w:p>
    <w:p w:rsidR="006D4E86" w:rsidRDefault="005A14D6" w:rsidP="005A14D6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  <w:color w:val="0000FF"/>
        </w:rPr>
      </w:pPr>
      <w:r w:rsidRPr="003177D7">
        <w:rPr>
          <w:rFonts w:asciiTheme="majorHAnsi" w:hAnsiTheme="majorHAnsi" w:cs="Tahoma"/>
        </w:rPr>
        <w:t>3.</w:t>
      </w:r>
      <w:r>
        <w:rPr>
          <w:rFonts w:asciiTheme="majorHAnsi" w:hAnsiTheme="majorHAnsi" w:cs="Tahoma"/>
        </w:rPr>
        <w:t>1</w:t>
      </w:r>
      <w:r w:rsidRPr="003177D7">
        <w:rPr>
          <w:rFonts w:asciiTheme="majorHAnsi" w:hAnsiTheme="majorHAnsi" w:cs="Tahoma"/>
        </w:rPr>
        <w:t>.</w:t>
      </w:r>
      <w:r w:rsidR="00050228">
        <w:rPr>
          <w:rFonts w:asciiTheme="majorHAnsi" w:hAnsiTheme="majorHAnsi" w:cs="Tahoma"/>
        </w:rPr>
        <w:t xml:space="preserve"> </w:t>
      </w:r>
      <w:r w:rsidR="00050228" w:rsidRPr="00050228">
        <w:rPr>
          <w:rFonts w:asciiTheme="majorHAnsi" w:hAnsiTheme="majorHAnsi" w:cs="Tahoma"/>
          <w:color w:val="0000FF"/>
        </w:rPr>
        <w:t xml:space="preserve">O </w:t>
      </w:r>
      <w:r w:rsidRPr="00050228">
        <w:rPr>
          <w:rFonts w:asciiTheme="majorHAnsi" w:hAnsiTheme="majorHAnsi" w:cs="Tahoma"/>
          <w:color w:val="0000FF"/>
        </w:rPr>
        <w:t xml:space="preserve">subprojeto deverá </w:t>
      </w:r>
      <w:r w:rsidR="00050228" w:rsidRPr="00050228">
        <w:rPr>
          <w:rFonts w:asciiTheme="majorHAnsi" w:hAnsiTheme="majorHAnsi" w:cs="Tahoma"/>
          <w:color w:val="0000FF"/>
        </w:rPr>
        <w:t xml:space="preserve">ser organizado por </w:t>
      </w:r>
      <w:r w:rsidRPr="00050228">
        <w:rPr>
          <w:rFonts w:asciiTheme="majorHAnsi" w:hAnsiTheme="majorHAnsi" w:cs="Tahoma"/>
          <w:b/>
          <w:color w:val="0000FF"/>
        </w:rPr>
        <w:t>Laboratório de Pesquisa</w:t>
      </w:r>
      <w:r w:rsidR="006D4E86">
        <w:rPr>
          <w:rFonts w:asciiTheme="majorHAnsi" w:hAnsiTheme="majorHAnsi" w:cs="Tahoma"/>
          <w:color w:val="0000FF"/>
        </w:rPr>
        <w:t>;</w:t>
      </w:r>
    </w:p>
    <w:p w:rsidR="00671C08" w:rsidRPr="006D4E86" w:rsidRDefault="00671C08" w:rsidP="005A14D6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  <w:color w:val="0000FF"/>
        </w:rPr>
      </w:pPr>
      <w:r>
        <w:rPr>
          <w:rFonts w:asciiTheme="majorHAnsi" w:hAnsiTheme="majorHAnsi" w:cs="Tahoma"/>
          <w:color w:val="0000FF"/>
        </w:rPr>
        <w:t xml:space="preserve">3.1.2 O cadastramento prévio de laboratórios e equipamentos elegíveis </w:t>
      </w:r>
      <w:r w:rsidRPr="00671C08">
        <w:rPr>
          <w:rFonts w:asciiTheme="majorHAnsi" w:hAnsiTheme="majorHAnsi" w:cs="Tahoma"/>
          <w:color w:val="0000FF"/>
        </w:rPr>
        <w:t xml:space="preserve">na Plataforma MCTI-PNIPE e na Plataforma </w:t>
      </w:r>
      <w:proofErr w:type="spellStart"/>
      <w:r w:rsidRPr="00671C08">
        <w:rPr>
          <w:rFonts w:asciiTheme="majorHAnsi" w:hAnsiTheme="majorHAnsi" w:cs="Tahoma"/>
          <w:color w:val="0000FF"/>
        </w:rPr>
        <w:t>Progemulti</w:t>
      </w:r>
      <w:proofErr w:type="spellEnd"/>
      <w:r w:rsidRPr="00671C08">
        <w:rPr>
          <w:rFonts w:asciiTheme="majorHAnsi" w:hAnsiTheme="majorHAnsi" w:cs="Tahoma"/>
          <w:color w:val="0000FF"/>
        </w:rPr>
        <w:t xml:space="preserve">/PR2 </w:t>
      </w:r>
      <w:r>
        <w:rPr>
          <w:rFonts w:asciiTheme="majorHAnsi" w:hAnsiTheme="majorHAnsi" w:cs="Tahoma"/>
          <w:color w:val="0000FF"/>
        </w:rPr>
        <w:t>é pré-requisito para participação neste edital;</w:t>
      </w:r>
    </w:p>
    <w:p w:rsidR="006D4E86" w:rsidRPr="00C86251" w:rsidRDefault="00050228" w:rsidP="005974F5">
      <w:pPr>
        <w:pStyle w:val="Corpodetexto"/>
        <w:rPr>
          <w:rFonts w:asciiTheme="majorHAnsi" w:hAnsiTheme="majorHAnsi" w:cs="Tahoma"/>
          <w:color w:val="0000FF"/>
        </w:rPr>
      </w:pPr>
      <w:r>
        <w:rPr>
          <w:rFonts w:asciiTheme="majorHAnsi" w:hAnsiTheme="majorHAnsi" w:cs="Tahoma"/>
        </w:rPr>
        <w:t>3.1.</w:t>
      </w:r>
      <w:r w:rsidR="005974F5">
        <w:rPr>
          <w:rFonts w:asciiTheme="majorHAnsi" w:hAnsiTheme="majorHAnsi" w:cs="Tahoma"/>
        </w:rPr>
        <w:t>2</w:t>
      </w:r>
      <w:r>
        <w:rPr>
          <w:rFonts w:asciiTheme="majorHAnsi" w:hAnsiTheme="majorHAnsi" w:cs="Tahoma"/>
        </w:rPr>
        <w:t>.</w:t>
      </w:r>
      <w:r w:rsidR="005974F5" w:rsidRPr="005974F5">
        <w:t xml:space="preserve"> </w:t>
      </w:r>
      <w:r w:rsidR="00671C08">
        <w:t xml:space="preserve"> </w:t>
      </w:r>
      <w:r w:rsidR="00671C08" w:rsidRPr="00C86251">
        <w:rPr>
          <w:rFonts w:asciiTheme="majorHAnsi" w:hAnsiTheme="majorHAnsi" w:cs="Tahoma"/>
          <w:color w:val="0000FF"/>
        </w:rPr>
        <w:t>É fundamental a divulgação pública dos critérios e regulamento do uso compartilhado dos equipamentos elegíveis para este edital, assim como a composição do comitê gestor e demais informações que assegurem transparência e garantia de acesso</w:t>
      </w:r>
      <w:r w:rsidR="005974F5" w:rsidRPr="00C86251">
        <w:rPr>
          <w:rFonts w:asciiTheme="majorHAnsi" w:hAnsiTheme="majorHAnsi" w:cs="Tahoma"/>
          <w:color w:val="0000FF"/>
        </w:rPr>
        <w:t>;</w:t>
      </w:r>
    </w:p>
    <w:p w:rsidR="005974F5" w:rsidRDefault="005974F5" w:rsidP="005974F5">
      <w:pPr>
        <w:pStyle w:val="Corpodetexto"/>
        <w:rPr>
          <w:rFonts w:asciiTheme="majorHAnsi" w:hAnsiTheme="majorHAnsi" w:cs="Tahoma"/>
          <w:color w:val="0000FF"/>
        </w:rPr>
      </w:pPr>
    </w:p>
    <w:p w:rsidR="00371A84" w:rsidRPr="006F5331" w:rsidRDefault="00AC54C2" w:rsidP="00371A84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</w:rPr>
      </w:pPr>
      <w:bookmarkStart w:id="1" w:name="_Ref151553383"/>
      <w:r w:rsidRPr="003177D7">
        <w:rPr>
          <w:rFonts w:asciiTheme="majorHAnsi" w:hAnsiTheme="majorHAnsi" w:cs="Tahoma"/>
        </w:rPr>
        <w:t>3.</w:t>
      </w:r>
      <w:r w:rsidR="00983B77">
        <w:rPr>
          <w:rFonts w:asciiTheme="majorHAnsi" w:hAnsiTheme="majorHAnsi" w:cs="Tahoma"/>
        </w:rPr>
        <w:t>2</w:t>
      </w:r>
      <w:r w:rsidRPr="003177D7">
        <w:rPr>
          <w:rFonts w:asciiTheme="majorHAnsi" w:hAnsiTheme="majorHAnsi" w:cs="Tahoma"/>
        </w:rPr>
        <w:t xml:space="preserve"> Cada </w:t>
      </w:r>
      <w:r w:rsidR="00983B77" w:rsidRPr="00050228">
        <w:rPr>
          <w:rFonts w:asciiTheme="majorHAnsi" w:hAnsiTheme="majorHAnsi" w:cs="Tahoma"/>
        </w:rPr>
        <w:t>subprojeto</w:t>
      </w:r>
      <w:r w:rsidR="00983B77">
        <w:rPr>
          <w:rFonts w:asciiTheme="majorHAnsi" w:hAnsiTheme="majorHAnsi" w:cs="Tahoma"/>
        </w:rPr>
        <w:t xml:space="preserve"> </w:t>
      </w:r>
      <w:r w:rsidRPr="003177D7">
        <w:rPr>
          <w:rFonts w:asciiTheme="majorHAnsi" w:hAnsiTheme="majorHAnsi" w:cs="Tahoma"/>
        </w:rPr>
        <w:t xml:space="preserve">deverá </w:t>
      </w:r>
      <w:r w:rsidR="005A14D6">
        <w:rPr>
          <w:rFonts w:asciiTheme="majorHAnsi" w:hAnsiTheme="majorHAnsi" w:cs="Tahoma"/>
        </w:rPr>
        <w:t>compreender a</w:t>
      </w:r>
      <w:r w:rsidRPr="003177D7">
        <w:rPr>
          <w:rFonts w:asciiTheme="majorHAnsi" w:hAnsiTheme="majorHAnsi" w:cs="Tahoma"/>
        </w:rPr>
        <w:t xml:space="preserve"> r</w:t>
      </w:r>
      <w:r w:rsidR="00371A84" w:rsidRPr="003177D7">
        <w:rPr>
          <w:rFonts w:asciiTheme="majorHAnsi" w:hAnsiTheme="majorHAnsi" w:cs="Tahoma"/>
        </w:rPr>
        <w:t xml:space="preserve">ecuperação e atualização de equipamentos </w:t>
      </w:r>
      <w:r w:rsidR="000A7048">
        <w:rPr>
          <w:rFonts w:asciiTheme="majorHAnsi" w:hAnsiTheme="majorHAnsi" w:cs="Tahoma"/>
        </w:rPr>
        <w:t xml:space="preserve">multiusuários </w:t>
      </w:r>
      <w:r w:rsidRPr="003177D7">
        <w:rPr>
          <w:rFonts w:asciiTheme="majorHAnsi" w:hAnsiTheme="majorHAnsi" w:cs="Tahoma"/>
        </w:rPr>
        <w:t>d</w:t>
      </w:r>
      <w:r w:rsidR="00371A84" w:rsidRPr="003177D7">
        <w:rPr>
          <w:rFonts w:asciiTheme="majorHAnsi" w:hAnsiTheme="majorHAnsi" w:cs="Tahoma"/>
        </w:rPr>
        <w:t xml:space="preserve">e porte intermediário ou superior, ou seja, com </w:t>
      </w:r>
      <w:r w:rsidR="00371A84" w:rsidRPr="003177D7">
        <w:rPr>
          <w:rFonts w:asciiTheme="majorHAnsi" w:hAnsiTheme="majorHAnsi" w:cs="Tahoma"/>
          <w:b/>
          <w:bCs/>
        </w:rPr>
        <w:t xml:space="preserve">valores de aquisição acima de </w:t>
      </w:r>
      <w:r w:rsidR="00371A84" w:rsidRPr="006F5331">
        <w:rPr>
          <w:rFonts w:asciiTheme="majorHAnsi" w:hAnsiTheme="majorHAnsi" w:cs="Tahoma"/>
          <w:b/>
          <w:bCs/>
          <w:strike/>
          <w:color w:val="FF0000"/>
        </w:rPr>
        <w:t>R$ 200.000,00</w:t>
      </w:r>
      <w:r w:rsidR="00371A84" w:rsidRPr="003177D7">
        <w:rPr>
          <w:rFonts w:asciiTheme="majorHAnsi" w:hAnsiTheme="majorHAnsi" w:cs="Tahoma"/>
          <w:b/>
          <w:bCs/>
        </w:rPr>
        <w:t xml:space="preserve"> </w:t>
      </w:r>
      <w:r w:rsidR="00371A84" w:rsidRPr="006F5331">
        <w:rPr>
          <w:rFonts w:asciiTheme="majorHAnsi" w:hAnsiTheme="majorHAnsi" w:cs="Tahoma"/>
          <w:b/>
          <w:bCs/>
          <w:strike/>
          <w:color w:val="FF0000"/>
        </w:rPr>
        <w:t>(duzentos mil reais)</w:t>
      </w:r>
      <w:bookmarkEnd w:id="1"/>
      <w:r w:rsidR="006F5331">
        <w:rPr>
          <w:rFonts w:asciiTheme="majorHAnsi" w:hAnsiTheme="majorHAnsi" w:cs="Tahoma"/>
          <w:strike/>
          <w:color w:val="FF0000"/>
        </w:rPr>
        <w:t xml:space="preserve"> </w:t>
      </w:r>
      <w:r w:rsidR="006F5331" w:rsidRPr="009E04DF">
        <w:rPr>
          <w:rFonts w:asciiTheme="majorHAnsi" w:hAnsiTheme="majorHAnsi" w:cs="Tahoma"/>
          <w:b/>
          <w:color w:val="0000FF"/>
        </w:rPr>
        <w:t>R$100.000,00 (cem mil reais);</w:t>
      </w:r>
    </w:p>
    <w:p w:rsidR="003177D7" w:rsidRDefault="00371A84" w:rsidP="003177D7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</w:rPr>
      </w:pPr>
      <w:r w:rsidRPr="003177D7">
        <w:rPr>
          <w:rFonts w:asciiTheme="majorHAnsi" w:hAnsiTheme="majorHAnsi" w:cs="Tahoma"/>
        </w:rPr>
        <w:t>3.</w:t>
      </w:r>
      <w:r w:rsidR="00983B77">
        <w:rPr>
          <w:rFonts w:asciiTheme="majorHAnsi" w:hAnsiTheme="majorHAnsi" w:cs="Tahoma"/>
        </w:rPr>
        <w:t>3</w:t>
      </w:r>
      <w:r w:rsidRPr="003177D7">
        <w:rPr>
          <w:rFonts w:asciiTheme="majorHAnsi" w:hAnsiTheme="majorHAnsi" w:cs="Tahoma"/>
        </w:rPr>
        <w:t xml:space="preserve">. </w:t>
      </w:r>
      <w:r w:rsidR="003177D7" w:rsidRPr="009E04DF">
        <w:rPr>
          <w:rFonts w:asciiTheme="majorHAnsi" w:hAnsiTheme="majorHAnsi" w:cs="Tahoma"/>
          <w:b/>
        </w:rPr>
        <w:t xml:space="preserve">O </w:t>
      </w:r>
      <w:r w:rsidRPr="009E04DF">
        <w:rPr>
          <w:rFonts w:asciiTheme="majorHAnsi" w:hAnsiTheme="majorHAnsi" w:cs="Tahoma"/>
          <w:b/>
        </w:rPr>
        <w:t xml:space="preserve">prazo de execução </w:t>
      </w:r>
      <w:r w:rsidR="003177D7" w:rsidRPr="009E04DF">
        <w:rPr>
          <w:rFonts w:asciiTheme="majorHAnsi" w:hAnsiTheme="majorHAnsi" w:cs="Tahoma"/>
          <w:b/>
        </w:rPr>
        <w:t xml:space="preserve">do projeto é </w:t>
      </w:r>
      <w:r w:rsidR="00506383" w:rsidRPr="009E04DF">
        <w:rPr>
          <w:rFonts w:asciiTheme="majorHAnsi" w:hAnsiTheme="majorHAnsi" w:cs="Tahoma"/>
          <w:b/>
        </w:rPr>
        <w:t xml:space="preserve">de </w:t>
      </w:r>
      <w:r w:rsidRPr="009E04DF">
        <w:rPr>
          <w:rFonts w:asciiTheme="majorHAnsi" w:hAnsiTheme="majorHAnsi" w:cs="Tahoma"/>
          <w:b/>
        </w:rPr>
        <w:t>24 meses;</w:t>
      </w:r>
      <w:bookmarkStart w:id="2" w:name="_Ref152325103"/>
    </w:p>
    <w:p w:rsidR="00506383" w:rsidRDefault="003177D7" w:rsidP="003177D7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3.</w:t>
      </w:r>
      <w:r w:rsidR="00983B77">
        <w:rPr>
          <w:rFonts w:asciiTheme="majorHAnsi" w:hAnsiTheme="majorHAnsi" w:cs="Tahoma"/>
        </w:rPr>
        <w:t>4</w:t>
      </w:r>
      <w:r>
        <w:rPr>
          <w:rFonts w:asciiTheme="majorHAnsi" w:hAnsiTheme="majorHAnsi" w:cs="Tahoma"/>
        </w:rPr>
        <w:t>.</w:t>
      </w:r>
      <w:r w:rsidR="00050228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Cad</w:t>
      </w:r>
      <w:r w:rsidR="00AC54C2" w:rsidRPr="003177D7">
        <w:rPr>
          <w:rFonts w:asciiTheme="majorHAnsi" w:hAnsiTheme="majorHAnsi" w:cs="Tahoma"/>
        </w:rPr>
        <w:t xml:space="preserve">a </w:t>
      </w:r>
      <w:r w:rsidR="00AC54C2" w:rsidRPr="00050228">
        <w:rPr>
          <w:rFonts w:asciiTheme="majorHAnsi" w:hAnsiTheme="majorHAnsi" w:cs="Tahoma"/>
        </w:rPr>
        <w:t>subprojeto</w:t>
      </w:r>
      <w:r w:rsidR="00AC54C2" w:rsidRPr="003177D7">
        <w:rPr>
          <w:rFonts w:asciiTheme="majorHAnsi" w:hAnsiTheme="majorHAnsi" w:cs="Tahoma"/>
        </w:rPr>
        <w:t xml:space="preserve"> deverá</w:t>
      </w:r>
      <w:r w:rsidR="00506383">
        <w:rPr>
          <w:rFonts w:asciiTheme="majorHAnsi" w:hAnsiTheme="majorHAnsi" w:cs="Tahoma"/>
        </w:rPr>
        <w:t>:</w:t>
      </w:r>
    </w:p>
    <w:p w:rsidR="00AC54C2" w:rsidRPr="003177D7" w:rsidRDefault="00506383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 w:cs="Tahoma"/>
        </w:rPr>
        <w:t>3.4.1</w:t>
      </w:r>
      <w:r w:rsidR="00AC54C2" w:rsidRPr="003177D7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>A</w:t>
      </w:r>
      <w:r w:rsidR="003177D7">
        <w:rPr>
          <w:rFonts w:asciiTheme="majorHAnsi" w:hAnsiTheme="majorHAnsi" w:cs="Tahoma"/>
        </w:rPr>
        <w:t>presentar</w:t>
      </w:r>
      <w:r w:rsidR="00AC54C2" w:rsidRPr="003177D7">
        <w:rPr>
          <w:rFonts w:asciiTheme="majorHAnsi" w:hAnsiTheme="majorHAnsi" w:cs="Tahoma"/>
        </w:rPr>
        <w:t xml:space="preserve"> uma descrição clara</w:t>
      </w:r>
      <w:r w:rsidR="00AC54C2" w:rsidRPr="003177D7">
        <w:rPr>
          <w:rFonts w:asciiTheme="majorHAnsi" w:hAnsiTheme="majorHAnsi"/>
        </w:rPr>
        <w:t xml:space="preserve"> e </w:t>
      </w:r>
      <w:r w:rsidR="00AC54C2" w:rsidRPr="003177D7">
        <w:rPr>
          <w:rFonts w:asciiTheme="majorHAnsi" w:hAnsiTheme="majorHAnsi" w:cs="Tahoma"/>
        </w:rPr>
        <w:t>concisa</w:t>
      </w:r>
      <w:r w:rsidR="00AC54C2" w:rsidRPr="003177D7">
        <w:rPr>
          <w:rFonts w:asciiTheme="majorHAnsi" w:hAnsiTheme="majorHAnsi"/>
        </w:rPr>
        <w:t xml:space="preserve"> da infraestrutura do Laboratório</w:t>
      </w:r>
      <w:r w:rsidR="00AC54C2" w:rsidRPr="003177D7">
        <w:rPr>
          <w:rFonts w:asciiTheme="majorHAnsi" w:hAnsiTheme="majorHAnsi" w:cs="Tahoma"/>
        </w:rPr>
        <w:t xml:space="preserve">, das suas linhas de ação, objetivos e </w:t>
      </w:r>
      <w:r w:rsidR="00AC54C2" w:rsidRPr="003177D7">
        <w:rPr>
          <w:rFonts w:asciiTheme="majorHAnsi" w:hAnsiTheme="majorHAnsi"/>
        </w:rPr>
        <w:t xml:space="preserve">relevância </w:t>
      </w:r>
      <w:r w:rsidR="00AC54C2" w:rsidRPr="003177D7">
        <w:rPr>
          <w:rFonts w:asciiTheme="majorHAnsi" w:hAnsiTheme="majorHAnsi" w:cs="Tahoma"/>
        </w:rPr>
        <w:t>estratégica, incidindo sobre o posicionamento da infraestrutura em relação ao Estado-da-Arte na sua área temática e na(s) área(s) científica(s) de atuação, bem como sobre a sua contribuição</w:t>
      </w:r>
      <w:r w:rsidR="00AC54C2" w:rsidRPr="003177D7">
        <w:rPr>
          <w:rFonts w:asciiTheme="majorHAnsi" w:hAnsiTheme="majorHAnsi"/>
        </w:rPr>
        <w:t xml:space="preserve"> para o desenvolvimento </w:t>
      </w:r>
      <w:r w:rsidR="00AC54C2" w:rsidRPr="003177D7">
        <w:rPr>
          <w:rFonts w:asciiTheme="majorHAnsi" w:hAnsiTheme="majorHAnsi" w:cs="Tahoma"/>
        </w:rPr>
        <w:t>da pesquisa</w:t>
      </w:r>
      <w:r w:rsidR="00AC54C2" w:rsidRPr="003177D7">
        <w:rPr>
          <w:rFonts w:asciiTheme="majorHAnsi" w:hAnsiTheme="majorHAnsi"/>
        </w:rPr>
        <w:t xml:space="preserve"> de </w:t>
      </w:r>
      <w:r w:rsidR="00AC54C2" w:rsidRPr="003177D7">
        <w:rPr>
          <w:rFonts w:asciiTheme="majorHAnsi" w:hAnsiTheme="majorHAnsi" w:cs="Tahoma"/>
        </w:rPr>
        <w:t>excelência;</w:t>
      </w:r>
      <w:bookmarkEnd w:id="2"/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bookmarkStart w:id="3" w:name="_Ref152325130"/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4.2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 xml:space="preserve">Descrever o mérito científico da equipe executora, tendo em conta a experiência anterior e as qualificações da equipe </w:t>
      </w:r>
      <w:r w:rsidRPr="00050228">
        <w:rPr>
          <w:rFonts w:asciiTheme="majorHAnsi" w:hAnsiTheme="majorHAnsi" w:cs="Tahoma"/>
        </w:rPr>
        <w:t>em face do subprojeto proposto</w:t>
      </w:r>
      <w:r w:rsidRPr="003177D7">
        <w:rPr>
          <w:rFonts w:asciiTheme="majorHAnsi" w:hAnsiTheme="majorHAnsi" w:cs="Tahoma"/>
        </w:rPr>
        <w:t xml:space="preserve">, com ênfase no Coordenador do </w:t>
      </w:r>
      <w:r w:rsidRPr="00050228">
        <w:rPr>
          <w:rFonts w:asciiTheme="majorHAnsi" w:hAnsiTheme="majorHAnsi" w:cs="Tahoma"/>
        </w:rPr>
        <w:t>subprojeto</w:t>
      </w:r>
      <w:r w:rsidRPr="003177D7">
        <w:rPr>
          <w:rFonts w:asciiTheme="majorHAnsi" w:hAnsiTheme="majorHAnsi" w:cs="Tahoma"/>
        </w:rPr>
        <w:t>;</w:t>
      </w:r>
      <w:bookmarkEnd w:id="3"/>
      <w:r w:rsidRPr="003177D7">
        <w:rPr>
          <w:rFonts w:asciiTheme="majorHAnsi" w:hAnsiTheme="majorHAnsi" w:cs="Tahoma"/>
        </w:rPr>
        <w:t xml:space="preserve"> </w:t>
      </w:r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/>
        </w:rPr>
      </w:pPr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4.3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Relacionar a produtividade, considerando</w:t>
      </w:r>
      <w:r w:rsidRPr="003177D7">
        <w:rPr>
          <w:rFonts w:asciiTheme="majorHAnsi" w:hAnsiTheme="majorHAnsi"/>
        </w:rPr>
        <w:t xml:space="preserve"> </w:t>
      </w:r>
      <w:r w:rsidRPr="003177D7">
        <w:rPr>
          <w:rFonts w:asciiTheme="majorHAnsi" w:hAnsiTheme="majorHAnsi" w:cs="Tahoma"/>
        </w:rPr>
        <w:t>as 10 produções mais importantes (publicações, teses e dissertações, patentes, entre outros) dos últimos 5 anos;</w:t>
      </w:r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bookmarkStart w:id="4" w:name="_Ref152325136"/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4.4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Destacar a capacidade para a formação de Recursos Humanos, informando a média anual de bolsistas, por tipo de bolsas;</w:t>
      </w:r>
      <w:bookmarkEnd w:id="4"/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bookmarkStart w:id="5" w:name="_Ref152325170"/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4.5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Informar o número médio anual de utilizadores do Laboratório e dos equipamentos, por tipo de utilizador, como indicador da sua capacidade de atração de utilizadores internos e externos;</w:t>
      </w:r>
      <w:bookmarkEnd w:id="5"/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bookmarkStart w:id="6" w:name="_Ref152325219"/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4.6.</w:t>
      </w:r>
      <w:r w:rsidRPr="003177D7">
        <w:rPr>
          <w:rFonts w:asciiTheme="majorHAnsi" w:hAnsiTheme="majorHAnsi" w:cs="Tahoma"/>
        </w:rPr>
        <w:t>.</w:t>
      </w:r>
      <w:proofErr w:type="gramEnd"/>
      <w:r w:rsidR="003177D7">
        <w:rPr>
          <w:rFonts w:asciiTheme="majorHAnsi" w:hAnsiTheme="majorHAnsi" w:cs="Tahoma"/>
        </w:rPr>
        <w:t>Apresentar de forma clara a</w:t>
      </w:r>
      <w:r w:rsidRPr="003177D7">
        <w:rPr>
          <w:rFonts w:asciiTheme="majorHAnsi" w:hAnsiTheme="majorHAnsi" w:cs="Tahoma"/>
        </w:rPr>
        <w:t xml:space="preserve"> prestação de serviços, bem como da capacidade de geração de receitas;</w:t>
      </w:r>
      <w:bookmarkEnd w:id="6"/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4.7 Descrever a</w:t>
      </w:r>
      <w:r w:rsidRPr="003177D7">
        <w:rPr>
          <w:rFonts w:asciiTheme="majorHAnsi" w:hAnsiTheme="majorHAnsi" w:cs="Tahoma"/>
        </w:rPr>
        <w:t>s condições de acesso à infraestrutura e seus ativos tecnológicos e /ou as condições de prestação de serviços, e a forma como são divulgadas devem estar disponíveis para a comunidade, de forma clara e transparente;</w:t>
      </w:r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bookmarkStart w:id="7" w:name="_Ref152325230"/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4.8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Apresentar plano de sustentabilidade do Laboratório e seus equipamentos (custos, periodicidade de manutenção, staff responsável pela operação, insumos, fontes perenes de recursos, etc.)</w:t>
      </w:r>
      <w:bookmarkEnd w:id="7"/>
      <w:r w:rsidRPr="003177D7">
        <w:rPr>
          <w:rFonts w:asciiTheme="majorHAnsi" w:hAnsiTheme="majorHAnsi" w:cs="Tahoma"/>
        </w:rPr>
        <w:t>;</w:t>
      </w:r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left="708"/>
        <w:jc w:val="both"/>
        <w:rPr>
          <w:rFonts w:asciiTheme="majorHAnsi" w:hAnsiTheme="majorHAnsi" w:cs="Tahoma"/>
          <w:i/>
        </w:rPr>
      </w:pPr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4.9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Descrever os resultados e impactos esperados no desenvolvimento das atividades de pesquisa e/ou pós-graduação associadas ao Laboratório, considerando a recuperação/ atualização dos equipamentos</w:t>
      </w:r>
      <w:r w:rsidR="00506383">
        <w:rPr>
          <w:rFonts w:asciiTheme="majorHAnsi" w:hAnsiTheme="majorHAnsi" w:cs="Tahoma"/>
        </w:rPr>
        <w:t>;</w:t>
      </w:r>
    </w:p>
    <w:p w:rsidR="00AC54C2" w:rsidRPr="003177D7" w:rsidRDefault="00AC54C2" w:rsidP="00506383">
      <w:pPr>
        <w:pStyle w:val="Corpodetexto"/>
        <w:suppressAutoHyphens/>
        <w:autoSpaceDN w:val="0"/>
        <w:spacing w:line="240" w:lineRule="atLeast"/>
        <w:ind w:firstLine="708"/>
        <w:jc w:val="both"/>
        <w:rPr>
          <w:rFonts w:asciiTheme="majorHAnsi" w:hAnsiTheme="majorHAnsi" w:cs="Tahoma"/>
          <w:i/>
        </w:rPr>
      </w:pPr>
      <w:proofErr w:type="gramStart"/>
      <w:r w:rsidRPr="003177D7"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4.10</w:t>
      </w:r>
      <w:r w:rsidRPr="003177D7">
        <w:rPr>
          <w:rFonts w:asciiTheme="majorHAnsi" w:hAnsiTheme="majorHAnsi" w:cs="Tahoma"/>
        </w:rPr>
        <w:t>.</w:t>
      </w:r>
      <w:proofErr w:type="gramEnd"/>
      <w:r w:rsidRPr="003177D7">
        <w:rPr>
          <w:rFonts w:asciiTheme="majorHAnsi" w:hAnsiTheme="majorHAnsi" w:cs="Tahoma"/>
        </w:rPr>
        <w:t>Descrever todos os serviços de reparo e atualização a serem realizados.</w:t>
      </w:r>
    </w:p>
    <w:p w:rsidR="00506383" w:rsidRDefault="00506383" w:rsidP="00506383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</w:rPr>
      </w:pPr>
    </w:p>
    <w:p w:rsidR="00AC54C2" w:rsidRPr="003177D7" w:rsidRDefault="00506383" w:rsidP="00506383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3.5. </w:t>
      </w:r>
      <w:r w:rsidR="00AC54C2" w:rsidRPr="003177D7">
        <w:rPr>
          <w:rFonts w:asciiTheme="majorHAnsi" w:hAnsiTheme="majorHAnsi" w:cs="Tahoma"/>
        </w:rPr>
        <w:t>Os itens de orçamento deverão observar, obrigatoriamente, os requisitos apresentados no Item 9.2 do Edital FINEP, tais como:</w:t>
      </w:r>
    </w:p>
    <w:p w:rsidR="00AC54C2" w:rsidRPr="003177D7" w:rsidRDefault="00450D23" w:rsidP="00AC54C2">
      <w:pPr>
        <w:pStyle w:val="PargrafodaLista"/>
        <w:numPr>
          <w:ilvl w:val="0"/>
          <w:numId w:val="16"/>
        </w:numPr>
        <w:suppressAutoHyphens/>
        <w:autoSpaceDN w:val="0"/>
        <w:spacing w:after="120" w:line="240" w:lineRule="atLeast"/>
        <w:ind w:left="440"/>
        <w:jc w:val="both"/>
        <w:textAlignment w:val="baseline"/>
        <w:rPr>
          <w:rFonts w:asciiTheme="majorHAnsi" w:hAnsiTheme="majorHAnsi"/>
        </w:rPr>
      </w:pPr>
      <w:r w:rsidRPr="00A077ED">
        <w:rPr>
          <w:color w:val="0000FF"/>
        </w:rPr>
        <w:t>Envio do Anexo III integralmente preenchido, contendo a</w:t>
      </w:r>
      <w:r>
        <w:t xml:space="preserve"> r</w:t>
      </w:r>
      <w:r w:rsidR="00AC54C2" w:rsidRPr="003177D7">
        <w:rPr>
          <w:rFonts w:asciiTheme="majorHAnsi" w:eastAsia="Times New Roman" w:hAnsiTheme="majorHAnsi" w:cs="Tahoma"/>
          <w:lang w:eastAsia="pt-BR"/>
        </w:rPr>
        <w:t>elação dos itens que serão objeto de reparo e/ou atualiza</w:t>
      </w:r>
      <w:r w:rsidR="00506383">
        <w:rPr>
          <w:rFonts w:asciiTheme="majorHAnsi" w:eastAsia="Times New Roman" w:hAnsiTheme="majorHAnsi" w:cs="Tahoma"/>
          <w:lang w:eastAsia="pt-BR"/>
        </w:rPr>
        <w:t>ção</w:t>
      </w:r>
      <w:r w:rsidR="00AC54C2" w:rsidRPr="003177D7">
        <w:rPr>
          <w:rFonts w:asciiTheme="majorHAnsi" w:eastAsia="Times New Roman" w:hAnsiTheme="majorHAnsi" w:cs="Tahoma"/>
          <w:lang w:eastAsia="pt-BR"/>
        </w:rPr>
        <w:t xml:space="preserve"> informando, para cada um deles, o link </w:t>
      </w:r>
      <w:r w:rsidR="00AC54C2" w:rsidRPr="00BF6ED1">
        <w:rPr>
          <w:rFonts w:asciiTheme="majorHAnsi" w:eastAsia="Times New Roman" w:hAnsiTheme="majorHAnsi" w:cs="Tahoma"/>
          <w:b/>
          <w:lang w:eastAsia="pt-BR"/>
        </w:rPr>
        <w:t>de acesso direto a</w:t>
      </w:r>
      <w:r w:rsidR="00BF6ED1" w:rsidRPr="00BF6ED1">
        <w:rPr>
          <w:rFonts w:asciiTheme="majorHAnsi" w:eastAsia="Times New Roman" w:hAnsiTheme="majorHAnsi" w:cs="Tahoma"/>
          <w:b/>
          <w:lang w:eastAsia="pt-BR"/>
        </w:rPr>
        <w:t xml:space="preserve">o cadastro </w:t>
      </w:r>
      <w:r w:rsidR="00BF6ED1">
        <w:rPr>
          <w:rFonts w:asciiTheme="majorHAnsi" w:eastAsia="Times New Roman" w:hAnsiTheme="majorHAnsi" w:cs="Tahoma"/>
          <w:b/>
          <w:lang w:eastAsia="pt-BR"/>
        </w:rPr>
        <w:t>atualizado na Plataforma Nacional de Infraestrutura de Pesquisa (</w:t>
      </w:r>
      <w:r w:rsidR="00AC54C2" w:rsidRPr="00BF6ED1">
        <w:rPr>
          <w:rFonts w:asciiTheme="majorHAnsi" w:eastAsia="Times New Roman" w:hAnsiTheme="majorHAnsi" w:cs="Tahoma"/>
          <w:b/>
          <w:lang w:eastAsia="pt-BR"/>
        </w:rPr>
        <w:t>PNIPE</w:t>
      </w:r>
      <w:r w:rsidR="00BF6ED1">
        <w:rPr>
          <w:rFonts w:asciiTheme="majorHAnsi" w:eastAsia="Times New Roman" w:hAnsiTheme="majorHAnsi" w:cs="Tahoma"/>
          <w:b/>
          <w:lang w:eastAsia="pt-BR"/>
        </w:rPr>
        <w:t>)</w:t>
      </w:r>
      <w:r>
        <w:rPr>
          <w:rFonts w:asciiTheme="majorHAnsi" w:eastAsia="Times New Roman" w:hAnsiTheme="majorHAnsi" w:cs="Tahoma"/>
          <w:lang w:eastAsia="pt-BR"/>
        </w:rPr>
        <w:t>, conforme Itens 4.4</w:t>
      </w:r>
      <w:r w:rsidR="00AC54C2" w:rsidRPr="003177D7">
        <w:rPr>
          <w:rFonts w:asciiTheme="majorHAnsi" w:eastAsia="Times New Roman" w:hAnsiTheme="majorHAnsi" w:cs="Tahoma"/>
          <w:lang w:eastAsia="pt-BR"/>
        </w:rPr>
        <w:t xml:space="preserve"> e 4.7.1. </w:t>
      </w:r>
      <w:proofErr w:type="gramStart"/>
      <w:r w:rsidR="00AC54C2" w:rsidRPr="003177D7">
        <w:rPr>
          <w:rFonts w:asciiTheme="majorHAnsi" w:eastAsia="Times New Roman" w:hAnsiTheme="majorHAnsi" w:cs="Tahoma"/>
          <w:lang w:eastAsia="pt-BR"/>
        </w:rPr>
        <w:t>do</w:t>
      </w:r>
      <w:proofErr w:type="gramEnd"/>
      <w:r w:rsidR="00AC54C2" w:rsidRPr="003177D7">
        <w:rPr>
          <w:rFonts w:asciiTheme="majorHAnsi" w:eastAsia="Times New Roman" w:hAnsiTheme="majorHAnsi" w:cs="Tahoma"/>
          <w:lang w:eastAsia="pt-BR"/>
        </w:rPr>
        <w:t xml:space="preserve"> Edital FINEP; </w:t>
      </w:r>
    </w:p>
    <w:p w:rsidR="00AC54C2" w:rsidRPr="003177D7" w:rsidRDefault="00AC54C2" w:rsidP="00AC54C2">
      <w:pPr>
        <w:pStyle w:val="PargrafodaLista"/>
        <w:numPr>
          <w:ilvl w:val="2"/>
          <w:numId w:val="15"/>
        </w:numPr>
        <w:suppressAutoHyphens/>
        <w:autoSpaceDN w:val="0"/>
        <w:spacing w:after="120" w:line="240" w:lineRule="atLeast"/>
        <w:ind w:left="440"/>
        <w:contextualSpacing w:val="0"/>
        <w:jc w:val="both"/>
        <w:textAlignment w:val="baseline"/>
        <w:rPr>
          <w:rFonts w:asciiTheme="majorHAnsi" w:hAnsiTheme="majorHAnsi" w:cs="Tahoma"/>
          <w:i/>
        </w:rPr>
      </w:pPr>
      <w:r w:rsidRPr="003177D7">
        <w:rPr>
          <w:rFonts w:asciiTheme="majorHAnsi" w:hAnsiTheme="majorHAnsi"/>
        </w:rPr>
        <w:t>Para serviços de reparo e atualização de equipamentos</w:t>
      </w:r>
      <w:r w:rsidR="00A077ED">
        <w:rPr>
          <w:rFonts w:asciiTheme="majorHAnsi" w:hAnsiTheme="majorHAnsi"/>
        </w:rPr>
        <w:t xml:space="preserve"> </w:t>
      </w:r>
      <w:r w:rsidR="00A077ED" w:rsidRPr="00A077ED">
        <w:rPr>
          <w:rFonts w:asciiTheme="majorHAnsi" w:hAnsiTheme="majorHAnsi"/>
          <w:color w:val="0000FF"/>
        </w:rPr>
        <w:t>elegíveis</w:t>
      </w:r>
      <w:r w:rsidRPr="003177D7">
        <w:rPr>
          <w:rFonts w:asciiTheme="majorHAnsi" w:hAnsiTheme="majorHAnsi"/>
        </w:rPr>
        <w:t>: proposta técnica e orçamentária;</w:t>
      </w:r>
    </w:p>
    <w:p w:rsidR="00AC54C2" w:rsidRPr="003177D7" w:rsidRDefault="00AC54C2" w:rsidP="00AC54C2">
      <w:pPr>
        <w:pStyle w:val="PargrafodaLista"/>
        <w:numPr>
          <w:ilvl w:val="2"/>
          <w:numId w:val="15"/>
        </w:numPr>
        <w:suppressAutoHyphens/>
        <w:autoSpaceDN w:val="0"/>
        <w:spacing w:after="120" w:line="240" w:lineRule="atLeast"/>
        <w:ind w:left="440"/>
        <w:contextualSpacing w:val="0"/>
        <w:jc w:val="both"/>
        <w:textAlignment w:val="baseline"/>
        <w:rPr>
          <w:rFonts w:asciiTheme="majorHAnsi" w:hAnsiTheme="majorHAnsi" w:cs="Tahoma"/>
          <w:i/>
        </w:rPr>
      </w:pPr>
      <w:r w:rsidRPr="003177D7">
        <w:rPr>
          <w:rFonts w:asciiTheme="majorHAnsi" w:hAnsiTheme="majorHAnsi"/>
        </w:rPr>
        <w:t>Para todos os materiais perm</w:t>
      </w:r>
      <w:r w:rsidR="00506383">
        <w:rPr>
          <w:rFonts w:asciiTheme="majorHAnsi" w:hAnsiTheme="majorHAnsi"/>
        </w:rPr>
        <w:t>anentes, materiais de consumo (p</w:t>
      </w:r>
      <w:r w:rsidRPr="003177D7">
        <w:rPr>
          <w:rFonts w:asciiTheme="majorHAnsi" w:hAnsiTheme="majorHAnsi"/>
        </w:rPr>
        <w:t>eças de reposição) e software nacionais: apresentação de orçamento</w:t>
      </w:r>
      <w:r w:rsidR="00450D23">
        <w:rPr>
          <w:rFonts w:asciiTheme="majorHAnsi" w:hAnsiTheme="majorHAnsi"/>
        </w:rPr>
        <w:t xml:space="preserve"> </w:t>
      </w:r>
      <w:r w:rsidR="00450D23" w:rsidRPr="00450D23">
        <w:rPr>
          <w:color w:val="0000FF"/>
        </w:rPr>
        <w:t>e comprovação de que o reparo se dá a custo superior à substituição, no caso de substituição de equipamentos</w:t>
      </w:r>
      <w:r w:rsidR="00A077ED">
        <w:rPr>
          <w:color w:val="0000FF"/>
        </w:rPr>
        <w:t xml:space="preserve"> elegíveis</w:t>
      </w:r>
      <w:r w:rsidR="00450D23">
        <w:t>;</w:t>
      </w:r>
      <w:r w:rsidRPr="003177D7">
        <w:rPr>
          <w:rFonts w:asciiTheme="majorHAnsi" w:hAnsiTheme="majorHAnsi"/>
        </w:rPr>
        <w:t xml:space="preserve"> </w:t>
      </w:r>
    </w:p>
    <w:p w:rsidR="00AC54C2" w:rsidRPr="003177D7" w:rsidRDefault="00AC54C2" w:rsidP="00AC54C2">
      <w:pPr>
        <w:pStyle w:val="PargrafodaLista"/>
        <w:numPr>
          <w:ilvl w:val="2"/>
          <w:numId w:val="15"/>
        </w:numPr>
        <w:suppressAutoHyphens/>
        <w:autoSpaceDN w:val="0"/>
        <w:spacing w:after="120" w:line="240" w:lineRule="atLeast"/>
        <w:ind w:left="440"/>
        <w:contextualSpacing w:val="0"/>
        <w:jc w:val="both"/>
        <w:textAlignment w:val="baseline"/>
        <w:rPr>
          <w:rFonts w:asciiTheme="majorHAnsi" w:hAnsiTheme="majorHAnsi" w:cs="Tahoma"/>
          <w:i/>
        </w:rPr>
      </w:pPr>
      <w:r w:rsidRPr="003177D7">
        <w:rPr>
          <w:rFonts w:asciiTheme="majorHAnsi" w:hAnsiTheme="majorHAnsi"/>
        </w:rPr>
        <w:t xml:space="preserve">Para todos os materiais permanentes, materiais de consumo e software importados: apresentação de proforma; </w:t>
      </w:r>
    </w:p>
    <w:p w:rsidR="00450D23" w:rsidRPr="00450D23" w:rsidRDefault="00AC54C2" w:rsidP="00AC54C2">
      <w:pPr>
        <w:pStyle w:val="PargrafodaLista"/>
        <w:numPr>
          <w:ilvl w:val="2"/>
          <w:numId w:val="15"/>
        </w:numPr>
        <w:shd w:val="clear" w:color="auto" w:fill="FFFFFF"/>
        <w:suppressAutoHyphens/>
        <w:autoSpaceDN w:val="0"/>
        <w:spacing w:after="150" w:line="240" w:lineRule="auto"/>
        <w:ind w:left="110" w:firstLine="0"/>
        <w:contextualSpacing w:val="0"/>
        <w:jc w:val="both"/>
        <w:textAlignment w:val="baseline"/>
        <w:rPr>
          <w:rFonts w:asciiTheme="majorHAnsi" w:eastAsia="Times New Roman" w:hAnsiTheme="majorHAnsi" w:cs="Times New Roman"/>
        </w:rPr>
      </w:pPr>
      <w:r w:rsidRPr="003177D7">
        <w:rPr>
          <w:rFonts w:asciiTheme="majorHAnsi" w:eastAsia="Times New Roman" w:hAnsiTheme="majorHAnsi" w:cs="Tahoma"/>
          <w:lang w:eastAsia="pt-BR"/>
        </w:rPr>
        <w:t xml:space="preserve">Caso a proposta inclua solicitação de recursos para serviços de engenharia ligados à instalação dos equipamentos, deverá ser apresentada a documentação que compõe o projeto resumido, conforme Anexo II do edital; </w:t>
      </w:r>
    </w:p>
    <w:p w:rsidR="00450D23" w:rsidRPr="00050228" w:rsidRDefault="000C10A9" w:rsidP="00AC54C2">
      <w:pPr>
        <w:pStyle w:val="PargrafodaLista"/>
        <w:numPr>
          <w:ilvl w:val="2"/>
          <w:numId w:val="15"/>
        </w:numPr>
        <w:shd w:val="clear" w:color="auto" w:fill="FFFFFF"/>
        <w:suppressAutoHyphens/>
        <w:autoSpaceDN w:val="0"/>
        <w:spacing w:after="150" w:line="240" w:lineRule="auto"/>
        <w:ind w:left="110" w:firstLine="0"/>
        <w:contextualSpacing w:val="0"/>
        <w:jc w:val="both"/>
        <w:textAlignment w:val="baseline"/>
        <w:rPr>
          <w:rFonts w:asciiTheme="majorHAnsi" w:eastAsia="Times New Roman" w:hAnsiTheme="majorHAnsi" w:cs="Times New Roman"/>
          <w:b/>
          <w:color w:val="0000FF"/>
        </w:rPr>
      </w:pPr>
      <w:r w:rsidRPr="00050228">
        <w:rPr>
          <w:b/>
          <w:color w:val="0000FF"/>
        </w:rPr>
        <w:t xml:space="preserve">Nos casos excepcionais, enquadrados no Item 6.2.3 do Edital </w:t>
      </w:r>
      <w:proofErr w:type="gramStart"/>
      <w:r w:rsidRPr="00050228">
        <w:rPr>
          <w:b/>
          <w:color w:val="0000FF"/>
        </w:rPr>
        <w:t>Finep</w:t>
      </w:r>
      <w:proofErr w:type="gramEnd"/>
      <w:r w:rsidRPr="00050228">
        <w:rPr>
          <w:b/>
          <w:color w:val="0000FF"/>
        </w:rPr>
        <w:t>, de substituição de equipamento elegível a ser recuperado, deverá ser apresentada nota técnica comprovando a não economicidade do reparo / recuperação; orçamento de reparo / recuperação complementando a nota técnica; e orçamento ou proforma (caso seja nacional ou importado, respectivamente) de aquisição de equipamento igual ou semelhante.</w:t>
      </w:r>
    </w:p>
    <w:p w:rsidR="00450D23" w:rsidRPr="00450D23" w:rsidRDefault="00450D23" w:rsidP="00450D23">
      <w:pPr>
        <w:pStyle w:val="PargrafodaLista"/>
        <w:numPr>
          <w:ilvl w:val="2"/>
          <w:numId w:val="15"/>
        </w:numPr>
        <w:shd w:val="clear" w:color="auto" w:fill="FFFFFF"/>
        <w:suppressAutoHyphens/>
        <w:autoSpaceDN w:val="0"/>
        <w:spacing w:after="150" w:line="240" w:lineRule="auto"/>
        <w:ind w:left="110" w:firstLine="0"/>
        <w:contextualSpacing w:val="0"/>
        <w:jc w:val="both"/>
        <w:textAlignment w:val="baseline"/>
        <w:rPr>
          <w:rFonts w:asciiTheme="majorHAnsi" w:eastAsia="Times New Roman" w:hAnsiTheme="majorHAnsi" w:cs="Times New Roman"/>
          <w:color w:val="0000FF"/>
        </w:rPr>
      </w:pPr>
      <w:r w:rsidRPr="006F5331">
        <w:rPr>
          <w:color w:val="0000FF"/>
        </w:rPr>
        <w:t xml:space="preserve">Para itens importados, deverá ser adotada como referência para o cálculo do valor em Reais a data de lançamento do Edital da Chamada Pública </w:t>
      </w:r>
      <w:proofErr w:type="gramStart"/>
      <w:r w:rsidRPr="006F5331">
        <w:rPr>
          <w:color w:val="0000FF"/>
        </w:rPr>
        <w:t>Finep</w:t>
      </w:r>
      <w:proofErr w:type="gramEnd"/>
      <w:r w:rsidRPr="006F5331">
        <w:rPr>
          <w:color w:val="0000FF"/>
        </w:rPr>
        <w:t>;</w:t>
      </w:r>
    </w:p>
    <w:p w:rsidR="00450D23" w:rsidRPr="006F5331" w:rsidRDefault="00450D23" w:rsidP="00450D23">
      <w:pPr>
        <w:pStyle w:val="PargrafodaLista"/>
        <w:shd w:val="clear" w:color="auto" w:fill="FFFFFF"/>
        <w:suppressAutoHyphens/>
        <w:autoSpaceDN w:val="0"/>
        <w:spacing w:after="150" w:line="240" w:lineRule="auto"/>
        <w:ind w:left="110"/>
        <w:contextualSpacing w:val="0"/>
        <w:jc w:val="both"/>
        <w:textAlignment w:val="baseline"/>
        <w:rPr>
          <w:rFonts w:asciiTheme="majorHAnsi" w:eastAsia="Times New Roman" w:hAnsiTheme="majorHAnsi" w:cs="Times New Roman"/>
          <w:color w:val="0000FF"/>
        </w:rPr>
      </w:pPr>
    </w:p>
    <w:p w:rsidR="00450D23" w:rsidRPr="00450D23" w:rsidRDefault="003177D7" w:rsidP="00450D23">
      <w:pPr>
        <w:pStyle w:val="PargrafodaLista"/>
        <w:shd w:val="clear" w:color="auto" w:fill="FFFFFF"/>
        <w:suppressAutoHyphens/>
        <w:autoSpaceDN w:val="0"/>
        <w:spacing w:after="150" w:line="240" w:lineRule="auto"/>
        <w:ind w:left="110"/>
        <w:contextualSpacing w:val="0"/>
        <w:jc w:val="both"/>
        <w:textAlignment w:val="baseline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ahoma"/>
        </w:rPr>
        <w:t>3.</w:t>
      </w:r>
      <w:r w:rsidR="00506383">
        <w:rPr>
          <w:rFonts w:asciiTheme="majorHAnsi" w:hAnsiTheme="majorHAnsi" w:cs="Tahoma"/>
        </w:rPr>
        <w:t>6</w:t>
      </w:r>
      <w:r>
        <w:rPr>
          <w:rFonts w:asciiTheme="majorHAnsi" w:hAnsiTheme="majorHAnsi" w:cs="Tahoma"/>
        </w:rPr>
        <w:t>.</w:t>
      </w:r>
      <w:r w:rsidR="006F5331">
        <w:rPr>
          <w:rFonts w:asciiTheme="majorHAnsi" w:hAnsiTheme="majorHAnsi" w:cs="Tahoma"/>
        </w:rPr>
        <w:t xml:space="preserve"> </w:t>
      </w:r>
      <w:proofErr w:type="gramStart"/>
      <w:r w:rsidR="00AC54C2" w:rsidRPr="003177D7">
        <w:rPr>
          <w:rFonts w:asciiTheme="majorHAnsi" w:hAnsiTheme="majorHAnsi" w:cs="Tahoma"/>
        </w:rPr>
        <w:t>O nome dos Laboratórios e de seus equipamentos</w:t>
      </w:r>
      <w:r w:rsidR="00A077ED">
        <w:rPr>
          <w:rFonts w:asciiTheme="majorHAnsi" w:hAnsiTheme="majorHAnsi" w:cs="Tahoma"/>
        </w:rPr>
        <w:t xml:space="preserve"> </w:t>
      </w:r>
      <w:r w:rsidR="00A077ED" w:rsidRPr="00A077ED">
        <w:rPr>
          <w:rFonts w:asciiTheme="majorHAnsi" w:hAnsiTheme="majorHAnsi" w:cs="Tahoma"/>
          <w:color w:val="0000FF"/>
        </w:rPr>
        <w:t>elegíveis</w:t>
      </w:r>
      <w:r w:rsidR="00A077ED">
        <w:rPr>
          <w:rFonts w:asciiTheme="majorHAnsi" w:hAnsiTheme="majorHAnsi" w:cs="Tahoma"/>
        </w:rPr>
        <w:t xml:space="preserve"> deverão</w:t>
      </w:r>
      <w:r w:rsidR="00AC54C2" w:rsidRPr="003177D7">
        <w:rPr>
          <w:rFonts w:asciiTheme="majorHAnsi" w:hAnsiTheme="majorHAnsi" w:cs="Tahoma"/>
        </w:rPr>
        <w:t xml:space="preserve"> corresponder</w:t>
      </w:r>
      <w:proofErr w:type="gramEnd"/>
      <w:r w:rsidR="00AC54C2" w:rsidRPr="003177D7">
        <w:rPr>
          <w:rFonts w:asciiTheme="majorHAnsi" w:hAnsiTheme="majorHAnsi" w:cs="Tahoma"/>
        </w:rPr>
        <w:t xml:space="preserve">, ao longo de toda </w:t>
      </w:r>
      <w:r w:rsidR="00506383">
        <w:rPr>
          <w:rFonts w:asciiTheme="majorHAnsi" w:hAnsiTheme="majorHAnsi" w:cs="Tahoma"/>
        </w:rPr>
        <w:t xml:space="preserve">a </w:t>
      </w:r>
      <w:r w:rsidR="00AC54C2" w:rsidRPr="003177D7">
        <w:rPr>
          <w:rFonts w:asciiTheme="majorHAnsi" w:hAnsiTheme="majorHAnsi" w:cs="Tahoma"/>
        </w:rPr>
        <w:t>proposta, aos dados cadastrados na PNIPE</w:t>
      </w:r>
      <w:r w:rsidR="00506383">
        <w:rPr>
          <w:rFonts w:asciiTheme="majorHAnsi" w:hAnsiTheme="majorHAnsi" w:cs="Tahoma"/>
        </w:rPr>
        <w:t>/MCTI</w:t>
      </w:r>
      <w:r w:rsidR="00271BC3" w:rsidRPr="003177D7">
        <w:rPr>
          <w:rFonts w:asciiTheme="majorHAnsi" w:hAnsiTheme="majorHAnsi" w:cs="Tahoma"/>
        </w:rPr>
        <w:t>.</w:t>
      </w:r>
      <w:r w:rsidR="00450D23" w:rsidRPr="00450D23">
        <w:rPr>
          <w:rFonts w:asciiTheme="majorHAnsi" w:hAnsiTheme="majorHAnsi" w:cs="Tahoma"/>
        </w:rPr>
        <w:t xml:space="preserve"> </w:t>
      </w:r>
    </w:p>
    <w:p w:rsidR="00450D23" w:rsidRPr="006F5331" w:rsidRDefault="000C10A9" w:rsidP="000C10A9">
      <w:pPr>
        <w:pStyle w:val="PargrafodaLista"/>
        <w:shd w:val="clear" w:color="auto" w:fill="FFFFFF"/>
        <w:suppressAutoHyphens/>
        <w:autoSpaceDN w:val="0"/>
        <w:spacing w:after="150" w:line="240" w:lineRule="auto"/>
        <w:ind w:left="110"/>
        <w:contextualSpacing w:val="0"/>
        <w:jc w:val="both"/>
        <w:textAlignment w:val="baseline"/>
        <w:rPr>
          <w:rFonts w:asciiTheme="majorHAnsi" w:eastAsia="Times New Roman" w:hAnsiTheme="majorHAnsi" w:cs="Times New Roman"/>
        </w:rPr>
      </w:pPr>
      <w:r>
        <w:rPr>
          <w:rFonts w:asciiTheme="majorHAnsi" w:hAnsiTheme="majorHAnsi" w:cs="Tahoma"/>
        </w:rPr>
        <w:t xml:space="preserve">3.7. </w:t>
      </w:r>
      <w:r w:rsidR="00450D23">
        <w:rPr>
          <w:rFonts w:asciiTheme="majorHAnsi" w:hAnsiTheme="majorHAnsi" w:cs="Tahoma"/>
        </w:rPr>
        <w:t>A</w:t>
      </w:r>
      <w:r w:rsidR="00450D23" w:rsidRPr="003177D7">
        <w:rPr>
          <w:rFonts w:asciiTheme="majorHAnsi" w:hAnsiTheme="majorHAnsi" w:cs="Tahoma"/>
        </w:rPr>
        <w:t xml:space="preserve"> ausência ou inadequação de quaisquer dos documentos citados neste item acarretará a eliminação do item de orçamento solicitado</w:t>
      </w:r>
      <w:r w:rsidR="00450D23">
        <w:rPr>
          <w:rFonts w:asciiTheme="majorHAnsi" w:hAnsiTheme="majorHAnsi" w:cs="Tahoma"/>
        </w:rPr>
        <w:t>.</w:t>
      </w:r>
    </w:p>
    <w:p w:rsidR="00AF6AB3" w:rsidRDefault="00AF6AB3" w:rsidP="003177D7">
      <w:pPr>
        <w:pStyle w:val="PargrafodaLista"/>
        <w:shd w:val="clear" w:color="auto" w:fill="FFFFFF"/>
        <w:suppressAutoHyphens/>
        <w:autoSpaceDN w:val="0"/>
        <w:spacing w:after="150" w:line="240" w:lineRule="auto"/>
        <w:ind w:left="110"/>
        <w:contextualSpacing w:val="0"/>
        <w:jc w:val="both"/>
        <w:textAlignment w:val="baseline"/>
        <w:rPr>
          <w:rFonts w:asciiTheme="majorHAnsi" w:hAnsiTheme="majorHAnsi" w:cs="Tahoma"/>
        </w:rPr>
      </w:pPr>
    </w:p>
    <w:p w:rsidR="00983B77" w:rsidRPr="003177D7" w:rsidRDefault="00983B77" w:rsidP="003177D7">
      <w:pPr>
        <w:pStyle w:val="PargrafodaLista"/>
        <w:shd w:val="clear" w:color="auto" w:fill="FFFFFF"/>
        <w:suppressAutoHyphens/>
        <w:autoSpaceDN w:val="0"/>
        <w:spacing w:after="150" w:line="240" w:lineRule="auto"/>
        <w:ind w:left="110"/>
        <w:contextualSpacing w:val="0"/>
        <w:jc w:val="both"/>
        <w:textAlignment w:val="baseline"/>
        <w:rPr>
          <w:rFonts w:asciiTheme="majorHAnsi" w:eastAsia="Times New Roman" w:hAnsiTheme="majorHAnsi" w:cs="Times New Roman"/>
        </w:rPr>
      </w:pPr>
    </w:p>
    <w:p w:rsidR="00AF6AB3" w:rsidRPr="003177D7" w:rsidRDefault="00271BC3" w:rsidP="00271BC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  <w:proofErr w:type="gramStart"/>
      <w:r w:rsidRPr="003177D7">
        <w:rPr>
          <w:rFonts w:asciiTheme="majorHAnsi" w:eastAsia="Times New Roman" w:hAnsiTheme="majorHAnsi" w:cs="Times New Roman"/>
          <w:b/>
        </w:rPr>
        <w:t>4.</w:t>
      </w:r>
      <w:proofErr w:type="gramEnd"/>
      <w:r w:rsidR="00AF6AB3" w:rsidRPr="003177D7">
        <w:rPr>
          <w:rFonts w:asciiTheme="majorHAnsi" w:eastAsia="Times New Roman" w:hAnsiTheme="majorHAnsi" w:cs="Times New Roman"/>
          <w:b/>
        </w:rPr>
        <w:t>DESPESAS APOIÁVEIS (</w:t>
      </w:r>
      <w:r w:rsidR="00AF6AB3" w:rsidRPr="003177D7">
        <w:rPr>
          <w:rFonts w:asciiTheme="majorHAnsi" w:eastAsia="Times New Roman" w:hAnsiTheme="majorHAnsi" w:cs="Times New Roman"/>
        </w:rPr>
        <w:t xml:space="preserve">é obrigatória a apresentação de orçamentos para todos os itens) </w:t>
      </w:r>
    </w:p>
    <w:p w:rsidR="00271BC3" w:rsidRPr="003177D7" w:rsidRDefault="00271BC3" w:rsidP="00271BC3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hAnsiTheme="majorHAnsi"/>
        </w:rPr>
      </w:pPr>
      <w:r w:rsidRPr="003177D7">
        <w:rPr>
          <w:rFonts w:asciiTheme="majorHAnsi" w:eastAsia="Times New Roman" w:hAnsiTheme="majorHAnsi" w:cs="Tahoma"/>
          <w:u w:val="single"/>
          <w:lang w:eastAsia="pt-BR"/>
        </w:rPr>
        <w:t>Despesas Correntes</w:t>
      </w:r>
      <w:r w:rsidRPr="003177D7">
        <w:rPr>
          <w:rFonts w:asciiTheme="majorHAnsi" w:eastAsia="Times New Roman" w:hAnsiTheme="majorHAnsi" w:cs="Tahoma"/>
          <w:lang w:eastAsia="pt-BR"/>
        </w:rPr>
        <w:t>:</w:t>
      </w:r>
    </w:p>
    <w:p w:rsidR="00271BC3" w:rsidRPr="003177D7" w:rsidRDefault="00271BC3" w:rsidP="00271BC3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t>4.1.</w:t>
      </w:r>
      <w:r w:rsidR="00AF445E">
        <w:rPr>
          <w:rFonts w:asciiTheme="majorHAnsi" w:hAnsiTheme="majorHAnsi" w:cs="Tahoma"/>
        </w:rPr>
        <w:t xml:space="preserve"> </w:t>
      </w:r>
      <w:r w:rsidRPr="003177D7">
        <w:rPr>
          <w:rFonts w:asciiTheme="majorHAnsi" w:hAnsiTheme="majorHAnsi" w:cs="Tahoma"/>
        </w:rPr>
        <w:t xml:space="preserve">Material de consumo para aquisição de peças de reposição nacionais e/ou importadas, classificadas como custeio, desde que relacionadas com a recuperação ou atualização dos equipamentos </w:t>
      </w:r>
      <w:r w:rsidR="00674C3F" w:rsidRPr="00674C3F">
        <w:rPr>
          <w:rFonts w:asciiTheme="majorHAnsi" w:hAnsiTheme="majorHAnsi" w:cs="Tahoma"/>
          <w:b/>
          <w:color w:val="0000FF"/>
        </w:rPr>
        <w:t>elegíveis</w:t>
      </w:r>
      <w:r w:rsidRPr="003177D7">
        <w:rPr>
          <w:rFonts w:asciiTheme="majorHAnsi" w:hAnsiTheme="majorHAnsi" w:cs="Tahoma"/>
        </w:rPr>
        <w:t>;</w:t>
      </w:r>
    </w:p>
    <w:p w:rsidR="00271BC3" w:rsidRPr="003177D7" w:rsidRDefault="00271BC3" w:rsidP="00271BC3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t>4.2.</w:t>
      </w:r>
      <w:r w:rsidR="00AF445E">
        <w:rPr>
          <w:rFonts w:asciiTheme="majorHAnsi" w:hAnsiTheme="majorHAnsi" w:cs="Tahoma"/>
        </w:rPr>
        <w:t xml:space="preserve"> </w:t>
      </w:r>
      <w:r w:rsidR="00674C3F">
        <w:rPr>
          <w:rFonts w:asciiTheme="majorHAnsi" w:hAnsiTheme="majorHAnsi" w:cs="Tahoma"/>
        </w:rPr>
        <w:t>Outros Serviços de Terceiros</w:t>
      </w:r>
      <w:r w:rsidRPr="003177D7">
        <w:rPr>
          <w:rFonts w:asciiTheme="majorHAnsi" w:hAnsiTheme="majorHAnsi" w:cs="Tahoma"/>
        </w:rPr>
        <w:t>:</w:t>
      </w:r>
    </w:p>
    <w:p w:rsidR="00271BC3" w:rsidRPr="003177D7" w:rsidRDefault="00271BC3" w:rsidP="00271BC3">
      <w:pPr>
        <w:pStyle w:val="Corpodetexto"/>
        <w:numPr>
          <w:ilvl w:val="0"/>
          <w:numId w:val="17"/>
        </w:numPr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t>Despesas com contratação de empresas especializadas em reparo e atualização de equipamentos</w:t>
      </w:r>
      <w:r w:rsidR="00674C3F">
        <w:rPr>
          <w:rFonts w:asciiTheme="majorHAnsi" w:hAnsiTheme="majorHAnsi" w:cs="Tahoma"/>
        </w:rPr>
        <w:t xml:space="preserve"> </w:t>
      </w:r>
      <w:r w:rsidR="00674C3F" w:rsidRPr="00674C3F">
        <w:rPr>
          <w:rFonts w:asciiTheme="majorHAnsi" w:hAnsiTheme="majorHAnsi" w:cs="Tahoma"/>
          <w:b/>
          <w:color w:val="0000FF"/>
        </w:rPr>
        <w:t>elegíveis</w:t>
      </w:r>
      <w:r w:rsidRPr="003177D7">
        <w:rPr>
          <w:rFonts w:asciiTheme="majorHAnsi" w:hAnsiTheme="majorHAnsi" w:cs="Tahoma"/>
        </w:rPr>
        <w:t>, que deverão englobar todos os elementos necessários à prestação do serviço;</w:t>
      </w:r>
    </w:p>
    <w:p w:rsidR="00271BC3" w:rsidRPr="003177D7" w:rsidRDefault="00271BC3" w:rsidP="00271BC3">
      <w:pPr>
        <w:pStyle w:val="Corpodetexto"/>
        <w:numPr>
          <w:ilvl w:val="0"/>
          <w:numId w:val="17"/>
        </w:numPr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bookmarkStart w:id="8" w:name="_Hlk139544223"/>
      <w:r w:rsidRPr="003177D7">
        <w:rPr>
          <w:rFonts w:asciiTheme="majorHAnsi" w:hAnsiTheme="majorHAnsi" w:cs="Tahoma"/>
        </w:rPr>
        <w:t>Aquisição de software associado aos equipamentos</w:t>
      </w:r>
      <w:r w:rsidR="005B2FAB">
        <w:rPr>
          <w:rFonts w:asciiTheme="majorHAnsi" w:hAnsiTheme="majorHAnsi" w:cs="Tahoma"/>
        </w:rPr>
        <w:t>, elegíveis,</w:t>
      </w:r>
      <w:r w:rsidRPr="003177D7">
        <w:rPr>
          <w:rFonts w:asciiTheme="majorHAnsi" w:hAnsiTheme="majorHAnsi" w:cs="Tahoma"/>
        </w:rPr>
        <w:t xml:space="preserve"> de porte intermediário ou superior;</w:t>
      </w:r>
    </w:p>
    <w:bookmarkEnd w:id="8"/>
    <w:p w:rsidR="00271BC3" w:rsidRPr="003177D7" w:rsidRDefault="00271BC3" w:rsidP="00271BC3">
      <w:pPr>
        <w:pStyle w:val="Corpodetexto"/>
        <w:numPr>
          <w:ilvl w:val="0"/>
          <w:numId w:val="17"/>
        </w:numPr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lastRenderedPageBreak/>
        <w:t>Despesas acessórias com importação (frete, seguros, despesas alfandegárias), limitadas a 20% do valor dos itens importados;</w:t>
      </w:r>
    </w:p>
    <w:p w:rsidR="00271BC3" w:rsidRPr="00AF445E" w:rsidRDefault="00271BC3" w:rsidP="00271BC3">
      <w:pPr>
        <w:pStyle w:val="PargrafodaLista"/>
        <w:numPr>
          <w:ilvl w:val="0"/>
          <w:numId w:val="17"/>
        </w:numPr>
        <w:suppressAutoHyphens/>
        <w:autoSpaceDN w:val="0"/>
        <w:spacing w:after="120" w:line="240" w:lineRule="atLeast"/>
        <w:contextualSpacing w:val="0"/>
        <w:jc w:val="both"/>
        <w:rPr>
          <w:rFonts w:asciiTheme="majorHAnsi" w:hAnsiTheme="majorHAnsi"/>
        </w:rPr>
      </w:pPr>
      <w:r w:rsidRPr="003177D7">
        <w:rPr>
          <w:rFonts w:asciiTheme="majorHAnsi" w:eastAsia="Times New Roman" w:hAnsiTheme="majorHAnsi" w:cs="Tahoma"/>
          <w:lang w:eastAsia="pt-BR"/>
        </w:rPr>
        <w:t xml:space="preserve">Despesas com serviços de reparos, consertos, pequenas reformas e adaptações de bens imóveis sem que ocorra a ampliação do imóvel; reparos em instalações elétricas e hidráulicas; desde que estritamente ligados à instalação dos equipamentos </w:t>
      </w:r>
      <w:r w:rsidR="00A2294B" w:rsidRPr="00A2294B">
        <w:rPr>
          <w:color w:val="0000FF"/>
        </w:rPr>
        <w:t>elegíveis, cuja recuperação / atualização é solicitada</w:t>
      </w:r>
      <w:r w:rsidRPr="003177D7">
        <w:rPr>
          <w:rFonts w:asciiTheme="majorHAnsi" w:eastAsia="Times New Roman" w:hAnsiTheme="majorHAnsi" w:cs="Tahoma"/>
          <w:lang w:eastAsia="pt-BR"/>
        </w:rPr>
        <w:t>.</w:t>
      </w:r>
    </w:p>
    <w:p w:rsidR="00AF445E" w:rsidRPr="003177D7" w:rsidRDefault="00AF445E" w:rsidP="00AF445E">
      <w:pPr>
        <w:pStyle w:val="PargrafodaLista"/>
        <w:suppressAutoHyphens/>
        <w:autoSpaceDN w:val="0"/>
        <w:spacing w:after="120" w:line="240" w:lineRule="atLeast"/>
        <w:ind w:left="1512"/>
        <w:contextualSpacing w:val="0"/>
        <w:jc w:val="both"/>
        <w:rPr>
          <w:rFonts w:asciiTheme="majorHAnsi" w:hAnsiTheme="majorHAnsi"/>
        </w:rPr>
      </w:pPr>
    </w:p>
    <w:p w:rsidR="00271BC3" w:rsidRPr="003177D7" w:rsidRDefault="00271BC3" w:rsidP="00271BC3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u w:val="single"/>
          <w:lang w:eastAsia="pt-BR"/>
        </w:rPr>
      </w:pPr>
      <w:proofErr w:type="gramStart"/>
      <w:r w:rsidRPr="003177D7">
        <w:rPr>
          <w:rFonts w:asciiTheme="majorHAnsi" w:eastAsia="Times New Roman" w:hAnsiTheme="majorHAnsi" w:cs="Tahoma"/>
          <w:u w:val="single"/>
          <w:lang w:eastAsia="pt-BR"/>
        </w:rPr>
        <w:t>4.</w:t>
      </w:r>
      <w:r w:rsidR="00983B77">
        <w:rPr>
          <w:rFonts w:asciiTheme="majorHAnsi" w:eastAsia="Times New Roman" w:hAnsiTheme="majorHAnsi" w:cs="Tahoma"/>
          <w:u w:val="single"/>
          <w:lang w:eastAsia="pt-BR"/>
        </w:rPr>
        <w:t>3</w:t>
      </w:r>
      <w:r w:rsidRPr="003177D7">
        <w:rPr>
          <w:rFonts w:asciiTheme="majorHAnsi" w:eastAsia="Times New Roman" w:hAnsiTheme="majorHAnsi" w:cs="Tahoma"/>
          <w:u w:val="single"/>
          <w:lang w:eastAsia="pt-BR"/>
        </w:rPr>
        <w:t>.</w:t>
      </w:r>
      <w:proofErr w:type="gramEnd"/>
      <w:r w:rsidRPr="003177D7">
        <w:rPr>
          <w:rFonts w:asciiTheme="majorHAnsi" w:eastAsia="Times New Roman" w:hAnsiTheme="majorHAnsi" w:cs="Tahoma"/>
          <w:u w:val="single"/>
          <w:lang w:eastAsia="pt-BR"/>
        </w:rPr>
        <w:t>Despesas de Capital</w:t>
      </w:r>
    </w:p>
    <w:p w:rsidR="00271BC3" w:rsidRPr="003177D7" w:rsidRDefault="00271BC3" w:rsidP="00271BC3">
      <w:pPr>
        <w:pStyle w:val="Corpodetexto"/>
        <w:numPr>
          <w:ilvl w:val="0"/>
          <w:numId w:val="18"/>
        </w:numPr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 w:rsidRPr="003177D7">
        <w:rPr>
          <w:rFonts w:asciiTheme="majorHAnsi" w:hAnsiTheme="majorHAnsi" w:cs="Tahoma"/>
        </w:rPr>
        <w:t>Sistemas e softwares embarcados</w:t>
      </w:r>
      <w:r w:rsidR="004317A7">
        <w:t xml:space="preserve"> </w:t>
      </w:r>
      <w:r w:rsidR="004317A7" w:rsidRPr="001859D1">
        <w:rPr>
          <w:color w:val="0000FF"/>
        </w:rPr>
        <w:t>destinados aos equipamentos elegíveis</w:t>
      </w:r>
      <w:r w:rsidRPr="003177D7">
        <w:rPr>
          <w:rFonts w:asciiTheme="majorHAnsi" w:hAnsiTheme="majorHAnsi" w:cs="Tahoma"/>
        </w:rPr>
        <w:t>;</w:t>
      </w:r>
    </w:p>
    <w:p w:rsidR="00271BC3" w:rsidRDefault="00271BC3" w:rsidP="00271BC3">
      <w:pPr>
        <w:pStyle w:val="Corpodetexto"/>
        <w:numPr>
          <w:ilvl w:val="0"/>
          <w:numId w:val="18"/>
        </w:numPr>
        <w:suppressAutoHyphens/>
        <w:autoSpaceDN w:val="0"/>
        <w:spacing w:line="240" w:lineRule="atLeast"/>
        <w:jc w:val="both"/>
        <w:rPr>
          <w:rFonts w:asciiTheme="majorHAnsi" w:hAnsiTheme="majorHAnsi"/>
        </w:rPr>
      </w:pPr>
      <w:r w:rsidRPr="003177D7">
        <w:rPr>
          <w:rFonts w:asciiTheme="majorHAnsi" w:hAnsiTheme="majorHAnsi" w:cs="Tahoma"/>
        </w:rPr>
        <w:t xml:space="preserve">Materiais permanentes relacionados com o reparo ou atualização </w:t>
      </w:r>
      <w:r w:rsidR="001859D1" w:rsidRPr="001859D1">
        <w:rPr>
          <w:color w:val="0000FF"/>
        </w:rPr>
        <w:t>dos equipamentos elegíveis</w:t>
      </w:r>
      <w:r w:rsidR="001859D1">
        <w:t>;</w:t>
      </w:r>
    </w:p>
    <w:p w:rsidR="004317A7" w:rsidRPr="004317A7" w:rsidRDefault="004317A7" w:rsidP="00271BC3">
      <w:pPr>
        <w:pStyle w:val="Corpodetexto"/>
        <w:numPr>
          <w:ilvl w:val="0"/>
          <w:numId w:val="18"/>
        </w:numPr>
        <w:suppressAutoHyphens/>
        <w:autoSpaceDN w:val="0"/>
        <w:spacing w:line="240" w:lineRule="atLeast"/>
        <w:jc w:val="both"/>
        <w:rPr>
          <w:rFonts w:asciiTheme="majorHAnsi" w:hAnsiTheme="majorHAnsi"/>
          <w:color w:val="0000FF"/>
        </w:rPr>
      </w:pPr>
      <w:r w:rsidRPr="004317A7">
        <w:rPr>
          <w:color w:val="0000FF"/>
        </w:rPr>
        <w:t xml:space="preserve">Excepcionalmente, poderá ser autorizada a substituição do equipamento elegível a ser recuperado, nos casos em que o custo de sua recuperação for comprovadamente superior à aquisição de equipamento igual ou semelhante. </w:t>
      </w:r>
      <w:proofErr w:type="gramStart"/>
      <w:r w:rsidRPr="004317A7">
        <w:rPr>
          <w:color w:val="0000FF"/>
        </w:rPr>
        <w:t>i</w:t>
      </w:r>
      <w:proofErr w:type="gramEnd"/>
      <w:r w:rsidRPr="004317A7">
        <w:rPr>
          <w:color w:val="0000FF"/>
        </w:rPr>
        <w:t xml:space="preserve">. O montante de recursos destinado à substituição excepcional de equipamentos elegíveis não deverá ultrapassar o valor </w:t>
      </w:r>
      <w:proofErr w:type="gramStart"/>
      <w:r w:rsidRPr="004317A7">
        <w:rPr>
          <w:color w:val="0000FF"/>
        </w:rPr>
        <w:t>total dos recursos FNDCT solicitados na proposta</w:t>
      </w:r>
      <w:proofErr w:type="gramEnd"/>
      <w:r w:rsidRPr="004317A7">
        <w:rPr>
          <w:color w:val="0000FF"/>
        </w:rPr>
        <w:t>.</w:t>
      </w:r>
    </w:p>
    <w:p w:rsidR="00F666C1" w:rsidRDefault="00F666C1" w:rsidP="00F666C1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/>
        </w:rPr>
      </w:pPr>
    </w:p>
    <w:p w:rsidR="00F666C1" w:rsidRDefault="00F666C1" w:rsidP="00F666C1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/>
        </w:rPr>
      </w:pPr>
    </w:p>
    <w:p w:rsidR="0015141D" w:rsidRPr="003177D7" w:rsidRDefault="0015141D" w:rsidP="0015141D">
      <w:pPr>
        <w:suppressAutoHyphens/>
        <w:autoSpaceDN w:val="0"/>
        <w:spacing w:after="120" w:line="240" w:lineRule="atLeast"/>
        <w:jc w:val="both"/>
        <w:textAlignment w:val="baseline"/>
        <w:rPr>
          <w:rFonts w:asciiTheme="majorHAnsi" w:eastAsia="Times New Roman" w:hAnsiTheme="majorHAnsi" w:cs="Tahoma"/>
          <w:b/>
          <w:lang w:eastAsia="pt-BR"/>
        </w:rPr>
      </w:pPr>
      <w:bookmarkStart w:id="9" w:name="_Ref108437619"/>
      <w:proofErr w:type="gramStart"/>
      <w:r w:rsidRPr="003177D7">
        <w:rPr>
          <w:rFonts w:asciiTheme="majorHAnsi" w:eastAsia="Times New Roman" w:hAnsiTheme="majorHAnsi" w:cs="Tahoma"/>
          <w:b/>
          <w:lang w:eastAsia="pt-BR"/>
        </w:rPr>
        <w:t>5.</w:t>
      </w:r>
      <w:proofErr w:type="gramEnd"/>
      <w:r w:rsidRPr="003177D7">
        <w:rPr>
          <w:rFonts w:asciiTheme="majorHAnsi" w:eastAsia="Times New Roman" w:hAnsiTheme="majorHAnsi" w:cs="Tahoma"/>
          <w:b/>
          <w:lang w:eastAsia="pt-BR"/>
        </w:rPr>
        <w:t>Análise de Mérito</w:t>
      </w:r>
      <w:bookmarkEnd w:id="9"/>
    </w:p>
    <w:p w:rsidR="0015141D" w:rsidRPr="003177D7" w:rsidRDefault="00983B77" w:rsidP="0015141D">
      <w:pPr>
        <w:pStyle w:val="Corpodetexto"/>
        <w:suppressAutoHyphens/>
        <w:autoSpaceDN w:val="0"/>
        <w:spacing w:line="240" w:lineRule="atLeast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</w:rPr>
        <w:t>Critérios para Avaliação de Mérito em conformidade com os critérios estabelecidos pela FINEP</w:t>
      </w:r>
      <w:r w:rsidR="0015141D" w:rsidRPr="003177D7">
        <w:rPr>
          <w:rFonts w:asciiTheme="majorHAnsi" w:hAnsiTheme="majorHAnsi" w:cs="Tahoma"/>
        </w:rPr>
        <w:t>:</w:t>
      </w:r>
    </w:p>
    <w:tbl>
      <w:tblPr>
        <w:tblW w:w="922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6817"/>
        <w:gridCol w:w="863"/>
        <w:gridCol w:w="699"/>
      </w:tblGrid>
      <w:tr w:rsidR="003177D7" w:rsidRPr="00EF28A9" w:rsidTr="003177D7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  <w:t>Critérios para Avaliação de Mérito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pt-BR"/>
              </w:rPr>
              <w:t>Notas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77D7">
            <w:pPr>
              <w:rPr>
                <w:sz w:val="18"/>
                <w:szCs w:val="18"/>
              </w:rPr>
            </w:pPr>
            <w:r w:rsidRPr="00EF28A9">
              <w:rPr>
                <w:sz w:val="18"/>
                <w:szCs w:val="18"/>
                <w:lang w:eastAsia="pt-BR"/>
              </w:rPr>
              <w:t>Peso</w:t>
            </w:r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74F5" w:rsidRPr="005974F5" w:rsidRDefault="0015141D" w:rsidP="005974F5">
            <w:pPr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Mérito</w: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- </w:t>
            </w:r>
            <w:r w:rsidR="00E44F1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Mérito e abrangência da proposta</w:t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, considerando sua aderência às áreas prioritárias definidas pelo MCTI, bem como sua relevância no contexto de C,T&amp;I para o desenvolvimento local/regional/nacional. (Item </w:t>
            </w:r>
            <w:r w:rsidR="00BD38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3.4.1)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begin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REF _Ref152325103 </w:instrTex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\* MERGEFORMAT </w:instrTex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separate"/>
            </w:r>
          </w:p>
          <w:p w:rsidR="005974F5" w:rsidRDefault="005974F5" w:rsidP="005974F5">
            <w:pPr>
              <w:rPr>
                <w:rFonts w:asciiTheme="majorHAnsi" w:hAnsiTheme="majorHAnsi" w:cs="Tahoma"/>
              </w:rPr>
            </w:pP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3.4. </w:t>
            </w:r>
            <w:r w:rsidRPr="005974F5">
              <w:rPr>
                <w:rFonts w:asciiTheme="majorHAnsi" w:hAnsiTheme="majorHAnsi" w:cs="Tahoma"/>
                <w:color w:val="FF0000"/>
                <w:sz w:val="18"/>
                <w:szCs w:val="18"/>
              </w:rPr>
              <w:t>Cada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 subprojeto deverá</w:t>
            </w:r>
            <w:r>
              <w:rPr>
                <w:rFonts w:asciiTheme="majorHAnsi" w:hAnsiTheme="majorHAnsi" w:cs="Tahoma"/>
              </w:rPr>
              <w:t>:</w:t>
            </w:r>
          </w:p>
          <w:p w:rsidR="0015141D" w:rsidRPr="00EF28A9" w:rsidRDefault="005974F5" w:rsidP="003177D7">
            <w:pPr>
              <w:spacing w:after="120" w:line="24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3.4.1 Apresentar uma </w:t>
            </w:r>
            <w:r w:rsidRPr="005974F5">
              <w:rPr>
                <w:rFonts w:asciiTheme="majorHAnsi" w:hAnsiTheme="majorHAnsi"/>
                <w:sz w:val="18"/>
                <w:szCs w:val="18"/>
              </w:rPr>
              <w:t>descrição clara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5974F5">
              <w:rPr>
                <w:rFonts w:asciiTheme="majorHAnsi" w:hAnsiTheme="majorHAnsi"/>
                <w:sz w:val="18"/>
                <w:szCs w:val="18"/>
              </w:rPr>
              <w:t xml:space="preserve">e concisa da infraestrutura 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>do Laboratório, das suas linhas de ação, objetivos</w:t>
            </w:r>
            <w:r w:rsidRPr="005974F5">
              <w:rPr>
                <w:rFonts w:asciiTheme="majorHAnsi" w:hAnsiTheme="majorHAnsi"/>
                <w:sz w:val="18"/>
                <w:szCs w:val="18"/>
              </w:rPr>
              <w:t xml:space="preserve"> e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 relevância estratégica, incidindo sobre o posicionamento da infraestrutura em relação ao Estado-da-Arte na sua área temática e na(s) área(s) científica(s) de atuação, bem como sobre a </w:t>
            </w:r>
            <w:r w:rsidRPr="005974F5">
              <w:rPr>
                <w:rFonts w:asciiTheme="majorHAnsi" w:hAnsiTheme="majorHAnsi"/>
                <w:sz w:val="18"/>
                <w:szCs w:val="18"/>
              </w:rPr>
              <w:t>sua contribuição para o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 desenvolvimento </w:t>
            </w:r>
            <w:r w:rsidRPr="005974F5">
              <w:rPr>
                <w:rFonts w:asciiTheme="majorHAnsi" w:hAnsiTheme="majorHAnsi"/>
                <w:sz w:val="18"/>
                <w:szCs w:val="18"/>
              </w:rPr>
              <w:t>da pesquisa</w:t>
            </w:r>
            <w:r w:rsidRPr="005974F5">
              <w:rPr>
                <w:rFonts w:asciiTheme="majorHAnsi" w:hAnsiTheme="majorHAnsi" w:cs="Tahoma"/>
                <w:sz w:val="18"/>
                <w:szCs w:val="18"/>
              </w:rPr>
              <w:t xml:space="preserve"> de</w:t>
            </w:r>
            <w:r w:rsidRPr="003177D7">
              <w:rPr>
                <w:rFonts w:asciiTheme="majorHAnsi" w:hAnsiTheme="majorHAnsi"/>
              </w:rPr>
              <w:t xml:space="preserve"> </w:t>
            </w:r>
            <w:proofErr w:type="gramStart"/>
            <w:r w:rsidRPr="003177D7">
              <w:rPr>
                <w:rFonts w:asciiTheme="majorHAnsi" w:hAnsiTheme="majorHAnsi" w:cs="Tahoma"/>
              </w:rPr>
              <w:t>excelência;</w:t>
            </w:r>
            <w:proofErr w:type="gramEnd"/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end"/>
            </w:r>
            <w:r w:rsidR="0015141D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77D7">
            <w:pPr>
              <w:spacing w:after="120" w:line="24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Equipe</w: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- </w:t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Qualificação e competência da equipe científica beneficiada pela implantação da infraestrutura, verificando a sua aderência à proposta (Itens 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begin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REF _Ref152325130 </w:instrTex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\* MERGEFORMAT </w:instrTex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separate"/>
            </w:r>
            <w:proofErr w:type="gramStart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3.4.2.</w:t>
            </w:r>
            <w:proofErr w:type="gramEnd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Descrever</w:t>
            </w:r>
            <w:r w:rsidR="005974F5" w:rsidRPr="005974F5">
              <w:rPr>
                <w:rFonts w:asciiTheme="majorHAnsi" w:hAnsiTheme="majorHAnsi" w:cs="Tahoma"/>
                <w:sz w:val="18"/>
                <w:szCs w:val="18"/>
              </w:rPr>
              <w:t xml:space="preserve"> o mérito científico da equipe executora, tendo em conta a experiência anterior e as qualificações da equipe em face do subprojeto proposto, com ênfase no Coordenador do subprojeto;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end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a </w:t>
            </w:r>
            <w:fldSimple w:instr=" REF _Ref152325136  \* MERGEFORMAT ">
              <w:r w:rsidR="005974F5" w:rsidRPr="005974F5">
                <w:rPr>
                  <w:rFonts w:asciiTheme="majorHAnsi" w:eastAsia="Times New Roman" w:hAnsiTheme="majorHAnsi" w:cs="Tahoma"/>
                  <w:sz w:val="18"/>
                  <w:szCs w:val="18"/>
                  <w:lang w:eastAsia="pt-BR"/>
                </w:rPr>
                <w:t>3.4.4.Destacar</w:t>
              </w:r>
              <w:r w:rsidR="005974F5" w:rsidRPr="005974F5">
                <w:rPr>
                  <w:rFonts w:asciiTheme="majorHAnsi" w:hAnsiTheme="majorHAnsi" w:cs="Tahoma"/>
                  <w:sz w:val="18"/>
                  <w:szCs w:val="18"/>
                </w:rPr>
                <w:t xml:space="preserve"> a capacidade para a formação de Recursos Humanos, informando a média anual de bolsistas, por tipo de bolsas;</w:t>
              </w:r>
            </w:fldSimple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Uso compartilhado da infraestrutura da Infraestrutura de Pesquisa</w:t>
            </w:r>
          </w:p>
          <w:p w:rsidR="0015141D" w:rsidRPr="00EF28A9" w:rsidRDefault="0015141D" w:rsidP="0031082B">
            <w:pPr>
              <w:spacing w:after="120" w:line="24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Nível de uso compartilhado do(s) equipamento(s): áreas/programas beneficiados e número de instituições e pessoas usuárias (Item 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begin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REF _Ref152325170 </w:instrTex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\* MERGEFORMAT </w:instrTex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separate"/>
            </w:r>
            <w:proofErr w:type="gramStart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3.4.5.</w:t>
            </w:r>
            <w:proofErr w:type="gramEnd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Informar</w:t>
            </w:r>
            <w:r w:rsidR="005974F5" w:rsidRPr="005974F5">
              <w:rPr>
                <w:rFonts w:asciiTheme="majorHAnsi" w:hAnsiTheme="majorHAnsi" w:cs="Tahoma"/>
                <w:sz w:val="18"/>
                <w:szCs w:val="18"/>
              </w:rPr>
              <w:t xml:space="preserve"> o número médio anual de utilizadores do Laboratório e dos equipamentos, por tipo de utilizador, como indicador da sua capacidade de atração de utilizadores internos e externos;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end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4</w:t>
            </w:r>
            <w:proofErr w:type="gramEnd"/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lastRenderedPageBreak/>
              <w:t>4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77D7">
            <w:pPr>
              <w:spacing w:after="120" w:line="240" w:lineRule="atLeast"/>
              <w:jc w:val="both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Resultados e impactos esperados</w: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- </w:t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Resultados e impactos esperados no desenvolvimento das atividades de pesquisa e/ou pós-graduação associadas à infraestrutura de pesquisa objeto da proposta. (Item 4.5.10)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77D7">
            <w:pPr>
              <w:spacing w:after="120" w:line="24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Sustentabilidade financeira de operação da Infraestrutura de Pesquisa e Política de Inovação</w: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- </w:t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Planejamento de sustentabilidade financeira para manutenção dos equipamentos reparados ou atualizados, através de recursos próprios da instituição, aportes de outras fontes, das receitas com a prestação de serviços para empresas e outras fontes (Item 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begin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REF _Ref152325219 </w:instrTex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instrText xml:space="preserve"> \* MERGEFORMAT </w:instrTex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separate"/>
            </w:r>
            <w:proofErr w:type="gramStart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3.4.6..</w:t>
            </w:r>
            <w:proofErr w:type="gramEnd"/>
            <w:r w:rsidR="005974F5" w:rsidRPr="005974F5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Apresentar</w:t>
            </w:r>
            <w:r w:rsidR="005974F5" w:rsidRPr="005974F5">
              <w:rPr>
                <w:rFonts w:asciiTheme="majorHAnsi" w:hAnsiTheme="majorHAnsi" w:cs="Tahoma"/>
                <w:sz w:val="18"/>
                <w:szCs w:val="18"/>
              </w:rPr>
              <w:t xml:space="preserve"> de forma clara a prestação de serviços, bem como da capacidade de geração de receitas;</w:t>
            </w:r>
            <w:r w:rsidR="00254BB0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fldChar w:fldCharType="end"/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a </w:t>
            </w:r>
            <w:fldSimple w:instr=" REF _Ref152325230  \* MERGEFORMAT ">
              <w:r w:rsidR="005974F5" w:rsidRPr="005974F5">
                <w:rPr>
                  <w:rFonts w:asciiTheme="majorHAnsi" w:eastAsia="Times New Roman" w:hAnsiTheme="majorHAnsi" w:cs="Tahoma"/>
                  <w:sz w:val="18"/>
                  <w:szCs w:val="18"/>
                  <w:lang w:eastAsia="pt-BR"/>
                </w:rPr>
                <w:t>3.4.8.Apresentar</w:t>
              </w:r>
              <w:r w:rsidR="005974F5" w:rsidRPr="005974F5">
                <w:rPr>
                  <w:rFonts w:asciiTheme="majorHAnsi" w:hAnsiTheme="majorHAnsi" w:cs="Tahoma"/>
                  <w:sz w:val="18"/>
                  <w:szCs w:val="18"/>
                </w:rPr>
                <w:t xml:space="preserve"> plano de sustentabilidade do Laboratório e seus equipamentos (custos, periodicidade de manutenção, staff responsável pela operação, insumos, fontes perenes de recursos, etc.)</w:t>
              </w:r>
            </w:fldSimple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), bem como a Política de Inovação da instituição (item 4.8).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  <w:tr w:rsidR="003177D7" w:rsidRPr="00EF28A9" w:rsidTr="0031082B">
        <w:trPr>
          <w:trHeight w:val="851"/>
          <w:jc w:val="righ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77D7">
            <w:pPr>
              <w:spacing w:after="120" w:line="240" w:lineRule="atLeas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Orçamento</w:t>
            </w:r>
            <w:r w:rsidR="003177D7"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 xml:space="preserve"> - </w:t>
            </w: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Adequação dos prazos de execução, do orçamento e do cronograma físico para instalação dos equipamentos e execução dos serviços de manutenção (Itens 4.7 e 9.2).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1 a 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141D" w:rsidRPr="00EF28A9" w:rsidRDefault="0015141D" w:rsidP="0031082B">
            <w:pPr>
              <w:spacing w:after="120" w:line="240" w:lineRule="atLeast"/>
              <w:jc w:val="center"/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</w:pPr>
            <w:proofErr w:type="gramStart"/>
            <w:r w:rsidRPr="00EF28A9">
              <w:rPr>
                <w:rFonts w:asciiTheme="majorHAnsi" w:eastAsia="Times New Roman" w:hAnsiTheme="majorHAnsi" w:cs="Tahoma"/>
                <w:sz w:val="18"/>
                <w:szCs w:val="18"/>
                <w:lang w:eastAsia="pt-BR"/>
              </w:rPr>
              <w:t>3</w:t>
            </w:r>
            <w:proofErr w:type="gramEnd"/>
          </w:p>
        </w:tc>
      </w:tr>
    </w:tbl>
    <w:p w:rsidR="00EF28A9" w:rsidRDefault="00EF28A9" w:rsidP="00EC3403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AF6AB3" w:rsidRDefault="0015141D" w:rsidP="00EC3403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3177D7">
        <w:rPr>
          <w:rFonts w:asciiTheme="majorHAnsi" w:eastAsia="Times New Roman" w:hAnsiTheme="majorHAnsi" w:cs="Times New Roman"/>
        </w:rPr>
        <w:t>6.</w:t>
      </w:r>
      <w:r w:rsidR="00AF445E">
        <w:rPr>
          <w:rFonts w:asciiTheme="majorHAnsi" w:eastAsia="Times New Roman" w:hAnsiTheme="majorHAnsi" w:cs="Times New Roman"/>
        </w:rPr>
        <w:t xml:space="preserve"> </w:t>
      </w:r>
      <w:r w:rsidR="00AF6AB3" w:rsidRPr="003177D7">
        <w:rPr>
          <w:rFonts w:asciiTheme="majorHAnsi" w:eastAsia="Times New Roman" w:hAnsiTheme="majorHAnsi" w:cs="Times New Roman"/>
          <w:b/>
        </w:rPr>
        <w:t>CONSIDERAÇÕES FINAIS</w:t>
      </w:r>
    </w:p>
    <w:p w:rsidR="00EF28A9" w:rsidRPr="00EF28A9" w:rsidRDefault="00EF28A9" w:rsidP="00EC3403">
      <w:pPr>
        <w:shd w:val="clear" w:color="auto" w:fill="FFFFFF"/>
        <w:spacing w:before="240" w:after="0" w:line="240" w:lineRule="auto"/>
        <w:jc w:val="both"/>
        <w:rPr>
          <w:rFonts w:asciiTheme="majorHAnsi" w:eastAsia="Times New Roman" w:hAnsiTheme="majorHAnsi" w:cs="Times New Roman"/>
        </w:rPr>
      </w:pPr>
      <w:r w:rsidRPr="00EF28A9">
        <w:rPr>
          <w:rFonts w:asciiTheme="majorHAnsi" w:eastAsia="Times New Roman" w:hAnsiTheme="majorHAnsi" w:cs="Times New Roman"/>
        </w:rPr>
        <w:t xml:space="preserve">A proposta </w:t>
      </w:r>
      <w:proofErr w:type="gramStart"/>
      <w:r w:rsidRPr="00EF28A9">
        <w:rPr>
          <w:rFonts w:asciiTheme="majorHAnsi" w:eastAsia="Times New Roman" w:hAnsiTheme="majorHAnsi" w:cs="Times New Roman"/>
        </w:rPr>
        <w:t>Uerj</w:t>
      </w:r>
      <w:proofErr w:type="gramEnd"/>
      <w:r w:rsidRPr="00EF28A9">
        <w:rPr>
          <w:rFonts w:asciiTheme="majorHAnsi" w:eastAsia="Times New Roman" w:hAnsiTheme="majorHAnsi" w:cs="Times New Roman"/>
        </w:rPr>
        <w:t xml:space="preserve"> deverá ser entre R$1.000.000,00 (um milhão de reais) e R$20.000.000,00 (vinte milhões de reais)</w:t>
      </w:r>
      <w:r>
        <w:rPr>
          <w:rFonts w:asciiTheme="majorHAnsi" w:eastAsia="Times New Roman" w:hAnsiTheme="majorHAnsi" w:cs="Times New Roman"/>
        </w:rPr>
        <w:t xml:space="preserve">, desta forma, dentre os subprojetos qualificados, serão </w:t>
      </w:r>
      <w:r w:rsidRPr="00EF28A9">
        <w:rPr>
          <w:rFonts w:asciiTheme="majorHAnsi" w:eastAsia="Times New Roman" w:hAnsiTheme="majorHAnsi" w:cs="Times New Roman"/>
        </w:rPr>
        <w:t>priorizad</w:t>
      </w:r>
      <w:r>
        <w:rPr>
          <w:rFonts w:asciiTheme="majorHAnsi" w:eastAsia="Times New Roman" w:hAnsiTheme="majorHAnsi" w:cs="Times New Roman"/>
        </w:rPr>
        <w:t xml:space="preserve">as as propostas </w:t>
      </w:r>
      <w:r w:rsidRPr="00EF28A9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que visem a recuperação e atualização de equipamentos de maior porte e de maior abrangência multiusuária.</w:t>
      </w:r>
      <w:r w:rsidRPr="00EF28A9">
        <w:rPr>
          <w:rFonts w:asciiTheme="majorHAnsi" w:eastAsia="Times New Roman" w:hAnsiTheme="majorHAnsi" w:cs="Times New Roman"/>
        </w:rPr>
        <w:t xml:space="preserve"> </w:t>
      </w:r>
    </w:p>
    <w:p w:rsidR="00EF28A9" w:rsidRDefault="00EF28A9" w:rsidP="00AF6A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</w:p>
    <w:p w:rsidR="00AF6AB3" w:rsidRPr="003177D7" w:rsidRDefault="00AF6AB3" w:rsidP="00AF6A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  <w:r w:rsidRPr="003177D7">
        <w:rPr>
          <w:rFonts w:asciiTheme="majorHAnsi" w:eastAsia="Times New Roman" w:hAnsiTheme="majorHAnsi" w:cs="Times New Roman"/>
        </w:rPr>
        <w:t>Casos omissos serão dirimidos pela comissão avaliadora d</w:t>
      </w:r>
      <w:r w:rsidR="00D9509B" w:rsidRPr="003177D7">
        <w:rPr>
          <w:rFonts w:asciiTheme="majorHAnsi" w:eastAsia="Times New Roman" w:hAnsiTheme="majorHAnsi" w:cs="Times New Roman"/>
        </w:rPr>
        <w:t>a</w:t>
      </w:r>
      <w:r w:rsidRPr="003177D7">
        <w:rPr>
          <w:rFonts w:asciiTheme="majorHAnsi" w:eastAsia="Times New Roman" w:hAnsiTheme="majorHAnsi" w:cs="Times New Roman"/>
        </w:rPr>
        <w:t xml:space="preserve"> Pró-reitoria de Pós-Graduação e Pesquisa (PR2).</w:t>
      </w:r>
    </w:p>
    <w:p w:rsidR="00AF6AB3" w:rsidRDefault="00AF6AB3" w:rsidP="00AF6A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  <w:r w:rsidRPr="003177D7">
        <w:rPr>
          <w:rFonts w:asciiTheme="majorHAnsi" w:eastAsia="Times New Roman" w:hAnsiTheme="majorHAnsi" w:cs="Times New Roman"/>
        </w:rPr>
        <w:t>Serão eliminadas as propostas que não atendam às disposições gerais desta chamada e/ou que</w:t>
      </w:r>
      <w:r w:rsidR="00506383">
        <w:rPr>
          <w:rFonts w:asciiTheme="majorHAnsi" w:eastAsia="Times New Roman" w:hAnsiTheme="majorHAnsi" w:cs="Times New Roman"/>
        </w:rPr>
        <w:t>, de acordo com o edital da FINEP,</w:t>
      </w:r>
      <w:proofErr w:type="gramStart"/>
      <w:r w:rsidR="00506383">
        <w:rPr>
          <w:rFonts w:asciiTheme="majorHAnsi" w:eastAsia="Times New Roman" w:hAnsiTheme="majorHAnsi" w:cs="Times New Roman"/>
        </w:rPr>
        <w:t xml:space="preserve"> </w:t>
      </w:r>
      <w:r w:rsidRPr="003177D7">
        <w:rPr>
          <w:rFonts w:asciiTheme="majorHAnsi" w:eastAsia="Times New Roman" w:hAnsiTheme="majorHAnsi" w:cs="Times New Roman"/>
        </w:rPr>
        <w:t xml:space="preserve"> </w:t>
      </w:r>
      <w:proofErr w:type="gramEnd"/>
      <w:r w:rsidRPr="003177D7">
        <w:rPr>
          <w:rFonts w:asciiTheme="majorHAnsi" w:eastAsia="Times New Roman" w:hAnsiTheme="majorHAnsi" w:cs="Times New Roman"/>
        </w:rPr>
        <w:t>apresentem impeditivos à aprovação.</w:t>
      </w:r>
    </w:p>
    <w:p w:rsidR="00EC3403" w:rsidRPr="003177D7" w:rsidRDefault="00EC3403" w:rsidP="00AF6A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</w:p>
    <w:p w:rsidR="00AF6AB3" w:rsidRPr="003177D7" w:rsidRDefault="00FB2AEE" w:rsidP="00AF6AB3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Uerj, em 15</w:t>
      </w:r>
      <w:r w:rsidR="00AF6AB3" w:rsidRPr="003177D7">
        <w:rPr>
          <w:rFonts w:asciiTheme="majorHAnsi" w:eastAsia="Times New Roman" w:hAnsiTheme="majorHAnsi" w:cs="Times New Roman"/>
        </w:rPr>
        <w:t xml:space="preserve"> de </w:t>
      </w:r>
      <w:r>
        <w:rPr>
          <w:rFonts w:asciiTheme="majorHAnsi" w:eastAsia="Times New Roman" w:hAnsiTheme="majorHAnsi" w:cs="Times New Roman"/>
        </w:rPr>
        <w:t>fevereiro</w:t>
      </w:r>
      <w:r w:rsidR="00AF6AB3" w:rsidRPr="003177D7">
        <w:rPr>
          <w:rFonts w:asciiTheme="majorHAnsi" w:eastAsia="Times New Roman" w:hAnsiTheme="majorHAnsi" w:cs="Times New Roman"/>
        </w:rPr>
        <w:t xml:space="preserve"> de 2024.</w:t>
      </w:r>
    </w:p>
    <w:p w:rsidR="00B34795" w:rsidRPr="003177D7" w:rsidRDefault="00AF6AB3" w:rsidP="003177D7">
      <w:pPr>
        <w:shd w:val="clear" w:color="auto" w:fill="FFFFFF"/>
        <w:spacing w:after="150" w:line="240" w:lineRule="auto"/>
        <w:rPr>
          <w:rFonts w:asciiTheme="majorHAnsi" w:hAnsiTheme="majorHAnsi"/>
        </w:rPr>
      </w:pPr>
      <w:r w:rsidRPr="003177D7">
        <w:rPr>
          <w:rFonts w:asciiTheme="majorHAnsi" w:eastAsia="Times New Roman" w:hAnsiTheme="majorHAnsi" w:cs="Times New Roman"/>
        </w:rPr>
        <w:t>Elizabeth Fernandes de Macedo</w:t>
      </w:r>
      <w:r w:rsidRPr="003177D7">
        <w:rPr>
          <w:rFonts w:asciiTheme="majorHAnsi" w:eastAsia="Times New Roman" w:hAnsiTheme="majorHAnsi" w:cs="Times New Roman"/>
        </w:rPr>
        <w:br/>
        <w:t>Pró-reitora de Pós-graduação e Pesquisa</w:t>
      </w:r>
    </w:p>
    <w:sectPr w:rsidR="00B34795" w:rsidRPr="003177D7" w:rsidSect="00983B77">
      <w:headerReference w:type="default" r:id="rId12"/>
      <w:footerReference w:type="default" r:id="rId13"/>
      <w:pgSz w:w="11906" w:h="16838"/>
      <w:pgMar w:top="2012" w:right="796" w:bottom="1418" w:left="1276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47" w:rsidRDefault="00A73647" w:rsidP="00061F38">
      <w:pPr>
        <w:spacing w:after="0" w:line="240" w:lineRule="auto"/>
      </w:pPr>
      <w:r>
        <w:separator/>
      </w:r>
    </w:p>
  </w:endnote>
  <w:endnote w:type="continuationSeparator" w:id="0">
    <w:p w:rsidR="00A73647" w:rsidRDefault="00A73647" w:rsidP="0006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84264"/>
      <w:docPartObj>
        <w:docPartGallery w:val="Page Numbers (Bottom of Page)"/>
        <w:docPartUnique/>
      </w:docPartObj>
    </w:sdtPr>
    <w:sdtEndPr/>
    <w:sdtContent>
      <w:p w:rsidR="00A51B9D" w:rsidRDefault="00254BB0">
        <w:pPr>
          <w:pStyle w:val="Rodap"/>
          <w:jc w:val="right"/>
        </w:pPr>
        <w:r>
          <w:fldChar w:fldCharType="begin"/>
        </w:r>
        <w:r w:rsidR="00A51B9D">
          <w:instrText>PAGE   \* MERGEFORMAT</w:instrText>
        </w:r>
        <w:r>
          <w:fldChar w:fldCharType="separate"/>
        </w:r>
        <w:r w:rsidR="005125EC">
          <w:rPr>
            <w:noProof/>
          </w:rPr>
          <w:t>1</w:t>
        </w:r>
        <w:r>
          <w:fldChar w:fldCharType="end"/>
        </w:r>
      </w:p>
    </w:sdtContent>
  </w:sdt>
  <w:p w:rsidR="00A51B9D" w:rsidRDefault="00A51B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47" w:rsidRDefault="00A73647" w:rsidP="00061F38">
      <w:pPr>
        <w:spacing w:after="0" w:line="240" w:lineRule="auto"/>
      </w:pPr>
      <w:r>
        <w:separator/>
      </w:r>
    </w:p>
  </w:footnote>
  <w:footnote w:type="continuationSeparator" w:id="0">
    <w:p w:rsidR="00A73647" w:rsidRDefault="00A73647" w:rsidP="0006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5523"/>
      <w:gridCol w:w="2153"/>
    </w:tblGrid>
    <w:tr w:rsidR="00EC3403" w:rsidTr="00EC3403">
      <w:trPr>
        <w:trHeight w:val="1317"/>
      </w:trPr>
      <w:tc>
        <w:tcPr>
          <w:tcW w:w="1807" w:type="dxa"/>
        </w:tcPr>
        <w:p w:rsidR="00EC3403" w:rsidRDefault="00EC3403" w:rsidP="00EC3403"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982345" cy="982345"/>
                <wp:effectExtent l="0" t="0" r="8255" b="8255"/>
                <wp:wrapThrough wrapText="bothSides">
                  <wp:wrapPolygon edited="0">
                    <wp:start x="6702" y="0"/>
                    <wp:lineTo x="3770" y="2094"/>
                    <wp:lineTo x="419" y="5445"/>
                    <wp:lineTo x="419" y="15080"/>
                    <wp:lineTo x="9634" y="21363"/>
                    <wp:lineTo x="11729" y="21363"/>
                    <wp:lineTo x="14242" y="20106"/>
                    <wp:lineTo x="20525" y="15080"/>
                    <wp:lineTo x="21363" y="4189"/>
                    <wp:lineTo x="16755" y="1257"/>
                    <wp:lineTo x="10891" y="0"/>
                    <wp:lineTo x="6702" y="0"/>
                  </wp:wrapPolygon>
                </wp:wrapThrough>
                <wp:docPr id="1" name="Imagem 1" descr="G:\Meu Drive\ASSESSORIA\009Equipe DIVULGAÇÃO\MIDIAS DIGITAIS PR2\logomarca-uerj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:\Meu Drive\ASSESSORIA\009Equipe DIVULGAÇÃO\MIDIAS DIGITAIS PR2\logomarca-uerj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3" w:type="dxa"/>
        </w:tcPr>
        <w:p w:rsidR="00EC3403" w:rsidRDefault="00EC3403" w:rsidP="00EC3403">
          <w:pPr>
            <w:jc w:val="center"/>
            <w:rPr>
              <w:b/>
            </w:rPr>
          </w:pPr>
        </w:p>
        <w:p w:rsidR="00EC3403" w:rsidRPr="00AA3DF0" w:rsidRDefault="00EC3403" w:rsidP="00EC3403">
          <w:pPr>
            <w:jc w:val="center"/>
            <w:rPr>
              <w:b/>
            </w:rPr>
          </w:pPr>
          <w:r>
            <w:rPr>
              <w:b/>
            </w:rPr>
            <w:t>U</w:t>
          </w:r>
          <w:r w:rsidRPr="00AA3DF0">
            <w:rPr>
              <w:b/>
            </w:rPr>
            <w:t>NIVERSIDADE DO ESTADO DO RIO DE JANEIRO</w:t>
          </w:r>
        </w:p>
        <w:p w:rsidR="00EC3403" w:rsidRPr="00AA3DF0" w:rsidRDefault="00EC3403" w:rsidP="00EC3403">
          <w:pPr>
            <w:jc w:val="center"/>
            <w:rPr>
              <w:b/>
            </w:rPr>
          </w:pPr>
          <w:r w:rsidRPr="00AA3DF0">
            <w:rPr>
              <w:b/>
            </w:rPr>
            <w:t>PRÓ-REITORIA DE PÓS-GRADUAÇÃO E PESQUISA (PR2)</w:t>
          </w:r>
        </w:p>
        <w:p w:rsidR="00EC3403" w:rsidRDefault="00EC3403" w:rsidP="00EC3403">
          <w:pPr>
            <w:jc w:val="center"/>
          </w:pPr>
          <w:r>
            <w:t>Coordenadoria de Gestão de Projetos Institucionais</w:t>
          </w:r>
        </w:p>
      </w:tc>
      <w:tc>
        <w:tcPr>
          <w:tcW w:w="2153" w:type="dxa"/>
        </w:tcPr>
        <w:p w:rsidR="00EC3403" w:rsidRDefault="00EC3403" w:rsidP="00EC3403">
          <w:pPr>
            <w:pStyle w:val="Cabealho"/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118110</wp:posOffset>
                </wp:positionV>
                <wp:extent cx="1308100" cy="907415"/>
                <wp:effectExtent l="0" t="0" r="6350" b="6985"/>
                <wp:wrapThrough wrapText="bothSides">
                  <wp:wrapPolygon edited="0">
                    <wp:start x="0" y="0"/>
                    <wp:lineTo x="0" y="21313"/>
                    <wp:lineTo x="21390" y="21313"/>
                    <wp:lineTo x="21390" y="0"/>
                    <wp:lineTo x="0" y="0"/>
                  </wp:wrapPolygon>
                </wp:wrapThrough>
                <wp:docPr id="2" name="Imagem 2" descr="G:\Meu Drive\ASSESSORIA\009Equipe DIVULGAÇÃO\MIDIAS DIGITAIS PR2\PR2 Logo Fundo 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Meu Drive\ASSESSORIA\009Equipe DIVULGAÇÃO\MIDIAS DIGITAIS PR2\PR2 Logo Fundo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7742" w:rsidRPr="00EC3403" w:rsidRDefault="00977742" w:rsidP="00EC3403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EF8"/>
    <w:multiLevelType w:val="multilevel"/>
    <w:tmpl w:val="797CE61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1067" w:hanging="357"/>
      </w:pPr>
      <w:rPr>
        <w:b w:val="0"/>
        <w:bCs w:val="0"/>
        <w:i w:val="0"/>
        <w:i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67" w:hanging="357"/>
      </w:pPr>
      <w:rPr>
        <w:rFonts w:ascii="Tahoma" w:hAnsi="Tahoma" w:cs="Tahoma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ascii="Tahoma" w:hAnsi="Tahoma" w:cs="Tahoma"/>
        <w:i w:val="0"/>
        <w:iCs/>
        <w:sz w:val="20"/>
        <w:szCs w:val="20"/>
      </w:rPr>
    </w:lvl>
    <w:lvl w:ilvl="4">
      <w:start w:val="1"/>
      <w:numFmt w:val="upperRoman"/>
      <w:lvlText w:val="%5."/>
      <w:lvlJc w:val="left"/>
      <w:pPr>
        <w:ind w:left="1785" w:hanging="357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">
    <w:nsid w:val="05B64570"/>
    <w:multiLevelType w:val="hybridMultilevel"/>
    <w:tmpl w:val="1EBEC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5D4"/>
    <w:multiLevelType w:val="multilevel"/>
    <w:tmpl w:val="FF447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b/>
        <w:i w:val="0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B175E1"/>
    <w:multiLevelType w:val="multilevel"/>
    <w:tmpl w:val="0074E0E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>
    <w:nsid w:val="29A42C95"/>
    <w:multiLevelType w:val="multilevel"/>
    <w:tmpl w:val="10DE8EEA"/>
    <w:lvl w:ilvl="0">
      <w:start w:val="3"/>
      <w:numFmt w:val="decimal"/>
      <w:lvlText w:val="%1."/>
      <w:lvlJc w:val="left"/>
      <w:pPr>
        <w:ind w:left="390" w:hanging="390"/>
      </w:pPr>
      <w:rPr>
        <w:rFonts w:ascii="Tahoma" w:hAnsi="Tahoma" w:cs="Tahoma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90"/>
      </w:pPr>
      <w:rPr>
        <w:rFonts w:ascii="Tahoma" w:hAnsi="Tahoma" w:cs="Tahoma" w:hint="default"/>
        <w:u w:val="singl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ahoma" w:hAnsi="Tahoma" w:cs="Tahoma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u w:val="single"/>
      </w:rPr>
    </w:lvl>
  </w:abstractNum>
  <w:abstractNum w:abstractNumId="5">
    <w:nsid w:val="2AC576E0"/>
    <w:multiLevelType w:val="multilevel"/>
    <w:tmpl w:val="90C44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  <w:rPr>
        <w:b/>
        <w:i w:val="0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2A0F91"/>
    <w:multiLevelType w:val="hybridMultilevel"/>
    <w:tmpl w:val="C76C0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084"/>
    <w:multiLevelType w:val="hybridMultilevel"/>
    <w:tmpl w:val="85824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860D6"/>
    <w:multiLevelType w:val="hybridMultilevel"/>
    <w:tmpl w:val="CE38C332"/>
    <w:lvl w:ilvl="0" w:tplc="DE3AF80E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5B1CAF"/>
    <w:multiLevelType w:val="hybridMultilevel"/>
    <w:tmpl w:val="E640AD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26A"/>
    <w:multiLevelType w:val="multilevel"/>
    <w:tmpl w:val="5D2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67861"/>
    <w:multiLevelType w:val="hybridMultilevel"/>
    <w:tmpl w:val="576C4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C07C4"/>
    <w:multiLevelType w:val="hybridMultilevel"/>
    <w:tmpl w:val="2090A986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97F40"/>
    <w:multiLevelType w:val="hybridMultilevel"/>
    <w:tmpl w:val="2408A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83D92"/>
    <w:multiLevelType w:val="multilevel"/>
    <w:tmpl w:val="84A6763A"/>
    <w:lvl w:ilvl="0">
      <w:start w:val="1"/>
      <w:numFmt w:val="lowerRoman"/>
      <w:lvlText w:val="%1."/>
      <w:lvlJc w:val="right"/>
      <w:pPr>
        <w:ind w:left="1512" w:hanging="360"/>
      </w:pPr>
      <w:rPr>
        <w:b w:val="0"/>
        <w:bCs/>
        <w:i w:val="0"/>
        <w:sz w:val="20"/>
        <w:szCs w:val="20"/>
      </w:rPr>
    </w:lvl>
    <w:lvl w:ilvl="1">
      <w:start w:val="5"/>
      <w:numFmt w:val="decimal"/>
      <w:lvlText w:val="%1.%2"/>
      <w:lvlJc w:val="left"/>
      <w:pPr>
        <w:ind w:left="1812" w:hanging="480"/>
      </w:pPr>
    </w:lvl>
    <w:lvl w:ilvl="2">
      <w:start w:val="1"/>
      <w:numFmt w:val="decimal"/>
      <w:lvlText w:val="%1.%2.%3"/>
      <w:lvlJc w:val="left"/>
      <w:pPr>
        <w:ind w:left="2232" w:hanging="720"/>
      </w:pPr>
    </w:lvl>
    <w:lvl w:ilvl="3">
      <w:start w:val="1"/>
      <w:numFmt w:val="decimal"/>
      <w:lvlText w:val="%1.%2.%3.%4"/>
      <w:lvlJc w:val="left"/>
      <w:pPr>
        <w:ind w:left="2412" w:hanging="720"/>
      </w:pPr>
    </w:lvl>
    <w:lvl w:ilvl="4">
      <w:start w:val="1"/>
      <w:numFmt w:val="decimal"/>
      <w:lvlText w:val="%1.%2.%3.%4.%5"/>
      <w:lvlJc w:val="left"/>
      <w:pPr>
        <w:ind w:left="2952" w:hanging="1080"/>
      </w:pPr>
    </w:lvl>
    <w:lvl w:ilvl="5">
      <w:start w:val="1"/>
      <w:numFmt w:val="decimal"/>
      <w:lvlText w:val="%1.%2.%3.%4.%5.%6"/>
      <w:lvlJc w:val="left"/>
      <w:pPr>
        <w:ind w:left="3132" w:hanging="1080"/>
      </w:pPr>
    </w:lvl>
    <w:lvl w:ilvl="6">
      <w:start w:val="1"/>
      <w:numFmt w:val="decimal"/>
      <w:lvlText w:val="%1.%2.%3.%4.%5.%6.%7"/>
      <w:lvlJc w:val="left"/>
      <w:pPr>
        <w:ind w:left="3672" w:hanging="1440"/>
      </w:pPr>
    </w:lvl>
    <w:lvl w:ilvl="7">
      <w:start w:val="1"/>
      <w:numFmt w:val="decimal"/>
      <w:lvlText w:val="%1.%2.%3.%4.%5.%6.%7.%8"/>
      <w:lvlJc w:val="left"/>
      <w:pPr>
        <w:ind w:left="3852" w:hanging="1440"/>
      </w:pPr>
    </w:lvl>
    <w:lvl w:ilvl="8">
      <w:start w:val="1"/>
      <w:numFmt w:val="decimal"/>
      <w:lvlText w:val="%1.%2.%3.%4.%5.%6.%7.%8.%9"/>
      <w:lvlJc w:val="left"/>
      <w:pPr>
        <w:ind w:left="4392" w:hanging="1800"/>
      </w:pPr>
    </w:lvl>
  </w:abstractNum>
  <w:abstractNum w:abstractNumId="15">
    <w:nsid w:val="69727C61"/>
    <w:multiLevelType w:val="hybridMultilevel"/>
    <w:tmpl w:val="5E2A00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47CC1"/>
    <w:multiLevelType w:val="multilevel"/>
    <w:tmpl w:val="9CF2848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7">
    <w:nsid w:val="749E1D0F"/>
    <w:multiLevelType w:val="multilevel"/>
    <w:tmpl w:val="F3FA5508"/>
    <w:lvl w:ilvl="0">
      <w:start w:val="3"/>
      <w:numFmt w:val="decimal"/>
      <w:lvlText w:val="%1."/>
      <w:lvlJc w:val="left"/>
      <w:pPr>
        <w:ind w:left="390" w:hanging="390"/>
      </w:pPr>
      <w:rPr>
        <w:rFonts w:ascii="Tahoma" w:hAnsi="Tahoma" w:cs="Tahoma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Theme="majorHAnsi" w:hAnsiTheme="majorHAnsi" w:cs="Tahoma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</w:rPr>
    </w:lvl>
  </w:abstractNum>
  <w:abstractNum w:abstractNumId="18">
    <w:nsid w:val="7B5F4890"/>
    <w:multiLevelType w:val="hybridMultilevel"/>
    <w:tmpl w:val="E744C8A2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D5"/>
    <w:rsid w:val="0002556F"/>
    <w:rsid w:val="000271BE"/>
    <w:rsid w:val="0002737B"/>
    <w:rsid w:val="0004625A"/>
    <w:rsid w:val="00050228"/>
    <w:rsid w:val="00051619"/>
    <w:rsid w:val="00055898"/>
    <w:rsid w:val="00061F38"/>
    <w:rsid w:val="00070B86"/>
    <w:rsid w:val="00090959"/>
    <w:rsid w:val="00092595"/>
    <w:rsid w:val="000A17D9"/>
    <w:rsid w:val="000A7048"/>
    <w:rsid w:val="000C10A9"/>
    <w:rsid w:val="000C4428"/>
    <w:rsid w:val="000D2113"/>
    <w:rsid w:val="00130FC4"/>
    <w:rsid w:val="001323A2"/>
    <w:rsid w:val="0015141D"/>
    <w:rsid w:val="00177CF1"/>
    <w:rsid w:val="00184E9F"/>
    <w:rsid w:val="001859D1"/>
    <w:rsid w:val="00192008"/>
    <w:rsid w:val="001A2851"/>
    <w:rsid w:val="001B5EF3"/>
    <w:rsid w:val="001C02F1"/>
    <w:rsid w:val="001C532F"/>
    <w:rsid w:val="001D7D60"/>
    <w:rsid w:val="001E672A"/>
    <w:rsid w:val="001F611B"/>
    <w:rsid w:val="00227A00"/>
    <w:rsid w:val="00235FB0"/>
    <w:rsid w:val="00236C94"/>
    <w:rsid w:val="0024448A"/>
    <w:rsid w:val="00250418"/>
    <w:rsid w:val="00254BB0"/>
    <w:rsid w:val="002711D1"/>
    <w:rsid w:val="00271BC3"/>
    <w:rsid w:val="00282A41"/>
    <w:rsid w:val="002846A9"/>
    <w:rsid w:val="002C1C05"/>
    <w:rsid w:val="002E7506"/>
    <w:rsid w:val="002E78D1"/>
    <w:rsid w:val="002F423A"/>
    <w:rsid w:val="00301560"/>
    <w:rsid w:val="003177D7"/>
    <w:rsid w:val="003347BB"/>
    <w:rsid w:val="00335C2D"/>
    <w:rsid w:val="00337AD3"/>
    <w:rsid w:val="00360FEA"/>
    <w:rsid w:val="00361FAA"/>
    <w:rsid w:val="003678D5"/>
    <w:rsid w:val="00371A84"/>
    <w:rsid w:val="00392C28"/>
    <w:rsid w:val="003B2CFB"/>
    <w:rsid w:val="003E7911"/>
    <w:rsid w:val="003F6133"/>
    <w:rsid w:val="0040769D"/>
    <w:rsid w:val="004219DB"/>
    <w:rsid w:val="004317A7"/>
    <w:rsid w:val="00445F0F"/>
    <w:rsid w:val="00450146"/>
    <w:rsid w:val="00450D23"/>
    <w:rsid w:val="00461868"/>
    <w:rsid w:val="00484EC2"/>
    <w:rsid w:val="00496092"/>
    <w:rsid w:val="00496C0E"/>
    <w:rsid w:val="004F42D5"/>
    <w:rsid w:val="0050493A"/>
    <w:rsid w:val="00506383"/>
    <w:rsid w:val="005125EC"/>
    <w:rsid w:val="00533B05"/>
    <w:rsid w:val="00574D1A"/>
    <w:rsid w:val="005843FA"/>
    <w:rsid w:val="005974F5"/>
    <w:rsid w:val="005A14D6"/>
    <w:rsid w:val="005B2FAB"/>
    <w:rsid w:val="005C0CA0"/>
    <w:rsid w:val="006004E4"/>
    <w:rsid w:val="006412D8"/>
    <w:rsid w:val="006422B7"/>
    <w:rsid w:val="0064410D"/>
    <w:rsid w:val="00644406"/>
    <w:rsid w:val="00655957"/>
    <w:rsid w:val="00671C08"/>
    <w:rsid w:val="00673077"/>
    <w:rsid w:val="00674C3F"/>
    <w:rsid w:val="00684C10"/>
    <w:rsid w:val="006A6674"/>
    <w:rsid w:val="006B77B1"/>
    <w:rsid w:val="006C08AB"/>
    <w:rsid w:val="006D20C3"/>
    <w:rsid w:val="006D4E86"/>
    <w:rsid w:val="006E3E62"/>
    <w:rsid w:val="006E3EA5"/>
    <w:rsid w:val="006F5331"/>
    <w:rsid w:val="006F60BF"/>
    <w:rsid w:val="00704154"/>
    <w:rsid w:val="0071574D"/>
    <w:rsid w:val="0073079A"/>
    <w:rsid w:val="00762EC3"/>
    <w:rsid w:val="007A64A9"/>
    <w:rsid w:val="007B393D"/>
    <w:rsid w:val="007C3350"/>
    <w:rsid w:val="00802E2E"/>
    <w:rsid w:val="00815359"/>
    <w:rsid w:val="008256F6"/>
    <w:rsid w:val="00836E8D"/>
    <w:rsid w:val="0086596E"/>
    <w:rsid w:val="00897323"/>
    <w:rsid w:val="008A2CB7"/>
    <w:rsid w:val="008B0958"/>
    <w:rsid w:val="008B3254"/>
    <w:rsid w:val="008C44CA"/>
    <w:rsid w:val="00906AC1"/>
    <w:rsid w:val="00916D13"/>
    <w:rsid w:val="00920FE5"/>
    <w:rsid w:val="00923159"/>
    <w:rsid w:val="009245C2"/>
    <w:rsid w:val="009454A0"/>
    <w:rsid w:val="00947E9B"/>
    <w:rsid w:val="00977742"/>
    <w:rsid w:val="00977863"/>
    <w:rsid w:val="00983B77"/>
    <w:rsid w:val="009B6587"/>
    <w:rsid w:val="009C0547"/>
    <w:rsid w:val="009E04DF"/>
    <w:rsid w:val="009F0EAE"/>
    <w:rsid w:val="00A077ED"/>
    <w:rsid w:val="00A2294B"/>
    <w:rsid w:val="00A23AA7"/>
    <w:rsid w:val="00A2561A"/>
    <w:rsid w:val="00A51B9D"/>
    <w:rsid w:val="00A618C1"/>
    <w:rsid w:val="00A73647"/>
    <w:rsid w:val="00A8402B"/>
    <w:rsid w:val="00AA458E"/>
    <w:rsid w:val="00AC54C2"/>
    <w:rsid w:val="00AD4F06"/>
    <w:rsid w:val="00AF445E"/>
    <w:rsid w:val="00AF5AE8"/>
    <w:rsid w:val="00AF6AB3"/>
    <w:rsid w:val="00B0566E"/>
    <w:rsid w:val="00B2308E"/>
    <w:rsid w:val="00B34795"/>
    <w:rsid w:val="00B6577B"/>
    <w:rsid w:val="00B71183"/>
    <w:rsid w:val="00B918BE"/>
    <w:rsid w:val="00BA024B"/>
    <w:rsid w:val="00BA2BDB"/>
    <w:rsid w:val="00BA4AFE"/>
    <w:rsid w:val="00BD38F5"/>
    <w:rsid w:val="00BE198E"/>
    <w:rsid w:val="00BE30C4"/>
    <w:rsid w:val="00BE3EE8"/>
    <w:rsid w:val="00BF07DA"/>
    <w:rsid w:val="00BF6ED1"/>
    <w:rsid w:val="00C25AA9"/>
    <w:rsid w:val="00C544AD"/>
    <w:rsid w:val="00C666AE"/>
    <w:rsid w:val="00C7206C"/>
    <w:rsid w:val="00C85333"/>
    <w:rsid w:val="00C86251"/>
    <w:rsid w:val="00C95902"/>
    <w:rsid w:val="00CA6F50"/>
    <w:rsid w:val="00CC308B"/>
    <w:rsid w:val="00CF0B3B"/>
    <w:rsid w:val="00D01D94"/>
    <w:rsid w:val="00D07477"/>
    <w:rsid w:val="00D130FF"/>
    <w:rsid w:val="00D52D69"/>
    <w:rsid w:val="00D64EF6"/>
    <w:rsid w:val="00D778FE"/>
    <w:rsid w:val="00D9509B"/>
    <w:rsid w:val="00DA5382"/>
    <w:rsid w:val="00DD77A4"/>
    <w:rsid w:val="00DE30D6"/>
    <w:rsid w:val="00E33307"/>
    <w:rsid w:val="00E44F15"/>
    <w:rsid w:val="00E50332"/>
    <w:rsid w:val="00E5263D"/>
    <w:rsid w:val="00E6298C"/>
    <w:rsid w:val="00E70CE9"/>
    <w:rsid w:val="00E92C09"/>
    <w:rsid w:val="00EA2E8C"/>
    <w:rsid w:val="00EC3403"/>
    <w:rsid w:val="00EC6D3F"/>
    <w:rsid w:val="00ED2218"/>
    <w:rsid w:val="00EE524E"/>
    <w:rsid w:val="00EE6D22"/>
    <w:rsid w:val="00EF28A9"/>
    <w:rsid w:val="00F14946"/>
    <w:rsid w:val="00F666C1"/>
    <w:rsid w:val="00F71DE0"/>
    <w:rsid w:val="00F760A5"/>
    <w:rsid w:val="00FA7C08"/>
    <w:rsid w:val="00FB2AEE"/>
    <w:rsid w:val="00FB4783"/>
    <w:rsid w:val="00FD3ADD"/>
    <w:rsid w:val="00FE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18BE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7">
    <w:name w:val="heading 7"/>
    <w:basedOn w:val="Normal"/>
    <w:link w:val="Ttulo7Char"/>
    <w:uiPriority w:val="9"/>
    <w:qFormat/>
    <w:rsid w:val="003678D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3678D5"/>
  </w:style>
  <w:style w:type="character" w:customStyle="1" w:styleId="grame">
    <w:name w:val="grame"/>
    <w:basedOn w:val="Fontepargpadro"/>
    <w:rsid w:val="003678D5"/>
  </w:style>
  <w:style w:type="character" w:styleId="Hyperlink">
    <w:name w:val="Hyperlink"/>
    <w:basedOn w:val="Fontepargpadro"/>
    <w:uiPriority w:val="99"/>
    <w:unhideWhenUsed/>
    <w:rsid w:val="003678D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0925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F38"/>
  </w:style>
  <w:style w:type="paragraph" w:styleId="Rodap">
    <w:name w:val="footer"/>
    <w:basedOn w:val="Normal"/>
    <w:link w:val="Rodap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F38"/>
  </w:style>
  <w:style w:type="paragraph" w:customStyle="1" w:styleId="Default">
    <w:name w:val="Default"/>
    <w:rsid w:val="00061F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DD77A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23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15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F6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6AB3"/>
  </w:style>
  <w:style w:type="paragraph" w:styleId="NormalWeb">
    <w:name w:val="Normal (Web)"/>
    <w:basedOn w:val="Normal"/>
    <w:uiPriority w:val="99"/>
    <w:unhideWhenUsed/>
    <w:rsid w:val="00AF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F6AB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9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andard">
    <w:name w:val="Standard"/>
    <w:rsid w:val="00B918BE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18BE"/>
    <w:pPr>
      <w:keepNext/>
      <w:keepLines/>
      <w:suppressAutoHyphens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7">
    <w:name w:val="heading 7"/>
    <w:basedOn w:val="Normal"/>
    <w:link w:val="Ttulo7Char"/>
    <w:uiPriority w:val="9"/>
    <w:qFormat/>
    <w:rsid w:val="003678D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3678D5"/>
  </w:style>
  <w:style w:type="character" w:customStyle="1" w:styleId="grame">
    <w:name w:val="grame"/>
    <w:basedOn w:val="Fontepargpadro"/>
    <w:rsid w:val="003678D5"/>
  </w:style>
  <w:style w:type="character" w:styleId="Hyperlink">
    <w:name w:val="Hyperlink"/>
    <w:basedOn w:val="Fontepargpadro"/>
    <w:uiPriority w:val="99"/>
    <w:unhideWhenUsed/>
    <w:rsid w:val="003678D5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6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678D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C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09259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F38"/>
  </w:style>
  <w:style w:type="paragraph" w:styleId="Rodap">
    <w:name w:val="footer"/>
    <w:basedOn w:val="Normal"/>
    <w:link w:val="RodapChar"/>
    <w:uiPriority w:val="99"/>
    <w:unhideWhenUsed/>
    <w:rsid w:val="00061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F38"/>
  </w:style>
  <w:style w:type="paragraph" w:customStyle="1" w:styleId="Default">
    <w:name w:val="Default"/>
    <w:rsid w:val="00061F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emEspaamento">
    <w:name w:val="No Spacing"/>
    <w:uiPriority w:val="1"/>
    <w:qFormat/>
    <w:rsid w:val="00DD77A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23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15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F6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6AB3"/>
  </w:style>
  <w:style w:type="paragraph" w:styleId="NormalWeb">
    <w:name w:val="Normal (Web)"/>
    <w:basedOn w:val="Normal"/>
    <w:uiPriority w:val="99"/>
    <w:unhideWhenUsed/>
    <w:rsid w:val="00AF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F6AB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9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Standard">
    <w:name w:val="Standard"/>
    <w:rsid w:val="00B918BE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056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07336902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05344673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66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85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43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79199580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411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898638046">
          <w:marLeft w:val="0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902977522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0710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417940468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40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2002728721">
          <w:marLeft w:val="0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624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54614257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02875072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244188315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800657452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2104642284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788234339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665745871">
          <w:marLeft w:val="142"/>
          <w:marRight w:val="0"/>
          <w:marTop w:val="0"/>
          <w:marBottom w:val="0"/>
          <w:divBdr>
            <w:top w:val="single" w:sz="12" w:space="1" w:color="0000FF"/>
            <w:left w:val="single" w:sz="12" w:space="4" w:color="0000FF"/>
            <w:bottom w:val="single" w:sz="12" w:space="1" w:color="0000FF"/>
            <w:right w:val="single" w:sz="12" w:space="4" w:color="0000FF"/>
          </w:divBdr>
        </w:div>
        <w:div w:id="115292991">
          <w:marLeft w:val="0"/>
          <w:marRight w:val="0"/>
          <w:marTop w:val="0"/>
          <w:marBottom w:val="0"/>
          <w:divBdr>
            <w:top w:val="single" w:sz="8" w:space="1" w:color="0000FF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977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FF"/>
            <w:right w:val="none" w:sz="0" w:space="0" w:color="auto"/>
          </w:divBdr>
        </w:div>
        <w:div w:id="185872428">
          <w:marLeft w:val="3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ssoria@sr2.uerj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ep.gov.br/chamadas-publicas/chamadapublica/7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sessoria@sr2.uerj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4812-E2AD-442B-9098-A383AF26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2006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</dc:creator>
  <cp:lastModifiedBy>Maria del Carmen</cp:lastModifiedBy>
  <cp:revision>3</cp:revision>
  <cp:lastPrinted>2024-02-15T19:07:00Z</cp:lastPrinted>
  <dcterms:created xsi:type="dcterms:W3CDTF">2024-02-15T20:08:00Z</dcterms:created>
  <dcterms:modified xsi:type="dcterms:W3CDTF">2024-03-08T15:15:00Z</dcterms:modified>
</cp:coreProperties>
</file>